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Look w:val="04A0"/>
      </w:tblPr>
      <w:tblGrid>
        <w:gridCol w:w="4927"/>
        <w:gridCol w:w="4927"/>
      </w:tblGrid>
      <w:tr w:rsidR="00634A8E" w:rsidTr="00954770">
        <w:trPr>
          <w:trHeight w:val="1975"/>
        </w:trPr>
        <w:tc>
          <w:tcPr>
            <w:tcW w:w="4927" w:type="dxa"/>
          </w:tcPr>
          <w:p w:rsidR="00634A8E" w:rsidRDefault="00634A8E" w:rsidP="00954770">
            <w:pPr>
              <w:jc w:val="center"/>
              <w:rPr>
                <w:b/>
                <w:sz w:val="28"/>
                <w:szCs w:val="28"/>
              </w:rPr>
            </w:pPr>
            <w:bookmarkStart w:id="0" w:name="_GoBack"/>
            <w:r w:rsidRPr="00326BAF">
              <w:rPr>
                <w:b/>
                <w:noProof/>
                <w:sz w:val="28"/>
                <w:szCs w:val="28"/>
                <w:lang w:eastAsia="ru-RU"/>
              </w:rPr>
              <w:drawing>
                <wp:anchor distT="0" distB="0" distL="114300" distR="114300" simplePos="0" relativeHeight="251659264" behindDoc="0" locked="0" layoutInCell="1" allowOverlap="1">
                  <wp:simplePos x="0" y="0"/>
                  <wp:positionH relativeFrom="column">
                    <wp:posOffset>554355</wp:posOffset>
                  </wp:positionH>
                  <wp:positionV relativeFrom="paragraph">
                    <wp:posOffset>107950</wp:posOffset>
                  </wp:positionV>
                  <wp:extent cx="1743075" cy="1238250"/>
                  <wp:effectExtent l="19050" t="0" r="9525" b="0"/>
                  <wp:wrapThrough wrapText="bothSides">
                    <wp:wrapPolygon edited="0">
                      <wp:start x="-236" y="0"/>
                      <wp:lineTo x="-236" y="21268"/>
                      <wp:lineTo x="21718" y="21268"/>
                      <wp:lineTo x="21718" y="0"/>
                      <wp:lineTo x="-236"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1238250"/>
                          </a:xfrm>
                          <a:prstGeom prst="rect">
                            <a:avLst/>
                          </a:prstGeom>
                          <a:noFill/>
                        </pic:spPr>
                      </pic:pic>
                    </a:graphicData>
                  </a:graphic>
                </wp:anchor>
              </w:drawing>
            </w:r>
            <w:bookmarkEnd w:id="0"/>
          </w:p>
        </w:tc>
        <w:tc>
          <w:tcPr>
            <w:tcW w:w="4928" w:type="dxa"/>
          </w:tcPr>
          <w:p w:rsidR="00634A8E" w:rsidRDefault="00634A8E" w:rsidP="00954770">
            <w:pPr>
              <w:jc w:val="center"/>
              <w:rPr>
                <w:b/>
              </w:rPr>
            </w:pPr>
          </w:p>
          <w:p w:rsidR="00634A8E" w:rsidRPr="00D903A5" w:rsidRDefault="002F245C" w:rsidP="00954770">
            <w:pPr>
              <w:jc w:val="center"/>
              <w:rPr>
                <w:rFonts w:ascii="Times New Roman" w:hAnsi="Times New Roman" w:cs="Times New Roman"/>
                <w:b/>
                <w:sz w:val="24"/>
                <w:szCs w:val="24"/>
              </w:rPr>
            </w:pPr>
            <w:r>
              <w:rPr>
                <w:rFonts w:ascii="Times New Roman" w:hAnsi="Times New Roman" w:cs="Times New Roman"/>
                <w:b/>
                <w:sz w:val="24"/>
                <w:szCs w:val="24"/>
              </w:rPr>
              <w:t>Васюкова Татьяна Анатольевна</w:t>
            </w:r>
            <w:r w:rsidR="00634A8E" w:rsidRPr="00D903A5">
              <w:rPr>
                <w:rFonts w:ascii="Times New Roman" w:hAnsi="Times New Roman" w:cs="Times New Roman"/>
                <w:b/>
                <w:sz w:val="24"/>
                <w:szCs w:val="24"/>
              </w:rPr>
              <w:t xml:space="preserve">, </w:t>
            </w:r>
          </w:p>
          <w:p w:rsidR="00634A8E" w:rsidRDefault="002F245C" w:rsidP="00954770">
            <w:pPr>
              <w:jc w:val="center"/>
              <w:rPr>
                <w:rFonts w:ascii="Times New Roman" w:hAnsi="Times New Roman" w:cs="Times New Roman"/>
                <w:b/>
                <w:sz w:val="24"/>
                <w:szCs w:val="24"/>
              </w:rPr>
            </w:pPr>
            <w:r>
              <w:rPr>
                <w:rFonts w:ascii="Times New Roman" w:hAnsi="Times New Roman" w:cs="Times New Roman"/>
                <w:b/>
                <w:sz w:val="24"/>
                <w:szCs w:val="24"/>
              </w:rPr>
              <w:t>п</w:t>
            </w:r>
            <w:r w:rsidR="00634A8E">
              <w:rPr>
                <w:rFonts w:ascii="Times New Roman" w:hAnsi="Times New Roman" w:cs="Times New Roman"/>
                <w:b/>
                <w:sz w:val="24"/>
                <w:szCs w:val="24"/>
              </w:rPr>
              <w:t>реподаватель по классу фортепиано</w:t>
            </w:r>
          </w:p>
          <w:p w:rsidR="00634A8E" w:rsidRPr="00D903A5" w:rsidRDefault="00400AD9" w:rsidP="00954770">
            <w:pPr>
              <w:jc w:val="center"/>
              <w:rPr>
                <w:rFonts w:ascii="Times New Roman" w:hAnsi="Times New Roman" w:cs="Times New Roman"/>
                <w:b/>
                <w:sz w:val="24"/>
                <w:szCs w:val="24"/>
              </w:rPr>
            </w:pPr>
            <w:r>
              <w:rPr>
                <w:rFonts w:ascii="Times New Roman" w:hAnsi="Times New Roman" w:cs="Times New Roman"/>
                <w:b/>
                <w:sz w:val="24"/>
                <w:szCs w:val="24"/>
              </w:rPr>
              <w:t>РМБУ ДО</w:t>
            </w:r>
            <w:r w:rsidR="00634A8E" w:rsidRPr="00D903A5">
              <w:rPr>
                <w:rFonts w:ascii="Times New Roman" w:hAnsi="Times New Roman" w:cs="Times New Roman"/>
                <w:b/>
                <w:sz w:val="24"/>
                <w:szCs w:val="24"/>
              </w:rPr>
              <w:t xml:space="preserve"> «Знаменская ДШИ»</w:t>
            </w:r>
          </w:p>
          <w:p w:rsidR="00634A8E" w:rsidRPr="00D903A5" w:rsidRDefault="00634A8E" w:rsidP="00954770">
            <w:pPr>
              <w:jc w:val="center"/>
              <w:rPr>
                <w:rFonts w:ascii="Times New Roman" w:hAnsi="Times New Roman" w:cs="Times New Roman"/>
                <w:b/>
                <w:sz w:val="24"/>
                <w:szCs w:val="24"/>
              </w:rPr>
            </w:pPr>
            <w:r w:rsidRPr="00D903A5">
              <w:rPr>
                <w:rFonts w:ascii="Times New Roman" w:hAnsi="Times New Roman" w:cs="Times New Roman"/>
                <w:b/>
                <w:sz w:val="24"/>
                <w:szCs w:val="24"/>
              </w:rPr>
              <w:t>р.п. Знаменка</w:t>
            </w:r>
          </w:p>
          <w:p w:rsidR="00634A8E" w:rsidRPr="00D903A5" w:rsidRDefault="00634A8E" w:rsidP="00954770">
            <w:pPr>
              <w:jc w:val="center"/>
              <w:rPr>
                <w:rFonts w:ascii="Times New Roman" w:hAnsi="Times New Roman" w:cs="Times New Roman"/>
                <w:b/>
                <w:sz w:val="24"/>
                <w:szCs w:val="24"/>
              </w:rPr>
            </w:pPr>
            <w:r w:rsidRPr="00D903A5">
              <w:rPr>
                <w:rFonts w:ascii="Times New Roman" w:hAnsi="Times New Roman" w:cs="Times New Roman"/>
                <w:b/>
                <w:sz w:val="24"/>
                <w:szCs w:val="24"/>
              </w:rPr>
              <w:t>Тамбовская область</w:t>
            </w:r>
          </w:p>
          <w:p w:rsidR="00634A8E" w:rsidRPr="00D903A5" w:rsidRDefault="00634A8E" w:rsidP="00954770">
            <w:pPr>
              <w:jc w:val="center"/>
              <w:rPr>
                <w:rFonts w:ascii="Times New Roman" w:hAnsi="Times New Roman" w:cs="Times New Roman"/>
                <w:b/>
                <w:sz w:val="24"/>
                <w:szCs w:val="24"/>
              </w:rPr>
            </w:pPr>
          </w:p>
          <w:p w:rsidR="00634A8E" w:rsidRDefault="00634A8E" w:rsidP="00954770">
            <w:pPr>
              <w:jc w:val="center"/>
              <w:rPr>
                <w:b/>
                <w:sz w:val="28"/>
                <w:szCs w:val="28"/>
              </w:rPr>
            </w:pPr>
          </w:p>
        </w:tc>
      </w:tr>
    </w:tbl>
    <w:p w:rsidR="00634A8E" w:rsidRDefault="00634A8E" w:rsidP="009D413C">
      <w:pPr>
        <w:spacing w:after="0" w:line="240" w:lineRule="auto"/>
        <w:jc w:val="center"/>
        <w:rPr>
          <w:rFonts w:ascii="Times New Roman" w:eastAsia="Times New Roman" w:hAnsi="Times New Roman" w:cs="Times New Roman"/>
          <w:sz w:val="28"/>
          <w:szCs w:val="28"/>
          <w:lang w:eastAsia="ru-RU"/>
        </w:rPr>
      </w:pPr>
    </w:p>
    <w:p w:rsidR="00E2615B" w:rsidRPr="00634A8E" w:rsidRDefault="00634A8E" w:rsidP="00D70254">
      <w:pPr>
        <w:spacing w:after="0" w:line="360" w:lineRule="auto"/>
        <w:ind w:firstLine="567"/>
        <w:jc w:val="center"/>
        <w:rPr>
          <w:rFonts w:ascii="Times New Roman" w:eastAsia="Times New Roman" w:hAnsi="Times New Roman" w:cs="Times New Roman"/>
          <w:b/>
          <w:i/>
          <w:sz w:val="28"/>
          <w:szCs w:val="28"/>
          <w:lang w:eastAsia="ru-RU"/>
        </w:rPr>
      </w:pPr>
      <w:r w:rsidRPr="00634A8E">
        <w:rPr>
          <w:rFonts w:ascii="Times New Roman" w:eastAsia="Times New Roman" w:hAnsi="Times New Roman" w:cs="Times New Roman"/>
          <w:b/>
          <w:sz w:val="28"/>
          <w:szCs w:val="28"/>
          <w:lang w:eastAsia="ru-RU"/>
        </w:rPr>
        <w:t>Статья на тему:</w:t>
      </w:r>
      <w:r>
        <w:rPr>
          <w:rFonts w:ascii="Times New Roman" w:eastAsia="Times New Roman" w:hAnsi="Times New Roman" w:cs="Times New Roman"/>
          <w:sz w:val="28"/>
          <w:szCs w:val="28"/>
          <w:lang w:eastAsia="ru-RU"/>
        </w:rPr>
        <w:t xml:space="preserve"> </w:t>
      </w:r>
      <w:r w:rsidRPr="009D413C">
        <w:rPr>
          <w:rFonts w:ascii="Times New Roman" w:eastAsia="Times New Roman" w:hAnsi="Times New Roman" w:cs="Times New Roman"/>
          <w:sz w:val="28"/>
          <w:szCs w:val="28"/>
          <w:lang w:eastAsia="ru-RU"/>
        </w:rPr>
        <w:t xml:space="preserve"> </w:t>
      </w:r>
      <w:r w:rsidRPr="00634A8E">
        <w:rPr>
          <w:rFonts w:ascii="Times New Roman" w:eastAsia="Times New Roman" w:hAnsi="Times New Roman" w:cs="Times New Roman"/>
          <w:i/>
          <w:sz w:val="28"/>
          <w:szCs w:val="28"/>
          <w:lang w:eastAsia="ru-RU"/>
        </w:rPr>
        <w:t>«</w:t>
      </w:r>
      <w:r w:rsidR="002F245C">
        <w:rPr>
          <w:rFonts w:ascii="Times New Roman" w:eastAsia="Times New Roman" w:hAnsi="Times New Roman" w:cs="Times New Roman"/>
          <w:b/>
          <w:i/>
          <w:sz w:val="28"/>
          <w:szCs w:val="28"/>
          <w:lang w:eastAsia="ru-RU"/>
        </w:rPr>
        <w:t xml:space="preserve">Игровые технологии как </w:t>
      </w:r>
      <w:r w:rsidR="00AD4C50">
        <w:rPr>
          <w:rFonts w:ascii="Times New Roman" w:eastAsia="Times New Roman" w:hAnsi="Times New Roman" w:cs="Times New Roman"/>
          <w:b/>
          <w:i/>
          <w:sz w:val="28"/>
          <w:szCs w:val="28"/>
          <w:lang w:eastAsia="ru-RU"/>
        </w:rPr>
        <w:t xml:space="preserve">один из </w:t>
      </w:r>
      <w:r w:rsidR="002F245C">
        <w:rPr>
          <w:rFonts w:ascii="Times New Roman" w:eastAsia="Times New Roman" w:hAnsi="Times New Roman" w:cs="Times New Roman"/>
          <w:b/>
          <w:i/>
          <w:sz w:val="28"/>
          <w:szCs w:val="28"/>
          <w:lang w:eastAsia="ru-RU"/>
        </w:rPr>
        <w:t>фактор</w:t>
      </w:r>
      <w:r w:rsidR="00AD4C50">
        <w:rPr>
          <w:rFonts w:ascii="Times New Roman" w:eastAsia="Times New Roman" w:hAnsi="Times New Roman" w:cs="Times New Roman"/>
          <w:b/>
          <w:i/>
          <w:sz w:val="28"/>
          <w:szCs w:val="28"/>
          <w:lang w:eastAsia="ru-RU"/>
        </w:rPr>
        <w:t>ов</w:t>
      </w:r>
      <w:r w:rsidR="002F245C">
        <w:rPr>
          <w:rFonts w:ascii="Times New Roman" w:eastAsia="Times New Roman" w:hAnsi="Times New Roman" w:cs="Times New Roman"/>
          <w:b/>
          <w:i/>
          <w:sz w:val="28"/>
          <w:szCs w:val="28"/>
          <w:lang w:eastAsia="ru-RU"/>
        </w:rPr>
        <w:t xml:space="preserve"> успешного обучения детей </w:t>
      </w:r>
      <w:r w:rsidR="00DB79F8">
        <w:rPr>
          <w:rFonts w:ascii="Times New Roman" w:eastAsia="Times New Roman" w:hAnsi="Times New Roman" w:cs="Times New Roman"/>
          <w:b/>
          <w:i/>
          <w:sz w:val="28"/>
          <w:szCs w:val="28"/>
          <w:lang w:eastAsia="ru-RU"/>
        </w:rPr>
        <w:t xml:space="preserve">младшего школьного возраста </w:t>
      </w:r>
      <w:r w:rsidR="002F245C">
        <w:rPr>
          <w:rFonts w:ascii="Times New Roman" w:eastAsia="Times New Roman" w:hAnsi="Times New Roman" w:cs="Times New Roman"/>
          <w:b/>
          <w:i/>
          <w:sz w:val="28"/>
          <w:szCs w:val="28"/>
          <w:lang w:eastAsia="ru-RU"/>
        </w:rPr>
        <w:t xml:space="preserve">в условиях </w:t>
      </w:r>
      <w:r w:rsidR="00DB79F8">
        <w:rPr>
          <w:rFonts w:ascii="Times New Roman" w:eastAsia="Times New Roman" w:hAnsi="Times New Roman" w:cs="Times New Roman"/>
          <w:b/>
          <w:i/>
          <w:sz w:val="28"/>
          <w:szCs w:val="28"/>
          <w:lang w:eastAsia="ru-RU"/>
        </w:rPr>
        <w:t xml:space="preserve">современной </w:t>
      </w:r>
      <w:r w:rsidR="00AD4C50">
        <w:rPr>
          <w:rFonts w:ascii="Times New Roman" w:eastAsia="Times New Roman" w:hAnsi="Times New Roman" w:cs="Times New Roman"/>
          <w:b/>
          <w:i/>
          <w:sz w:val="28"/>
          <w:szCs w:val="28"/>
          <w:lang w:eastAsia="ru-RU"/>
        </w:rPr>
        <w:t xml:space="preserve">детской </w:t>
      </w:r>
      <w:r w:rsidR="00DB79F8">
        <w:rPr>
          <w:rFonts w:ascii="Times New Roman" w:eastAsia="Times New Roman" w:hAnsi="Times New Roman" w:cs="Times New Roman"/>
          <w:b/>
          <w:i/>
          <w:sz w:val="28"/>
          <w:szCs w:val="28"/>
          <w:lang w:eastAsia="ru-RU"/>
        </w:rPr>
        <w:t>школы искусств</w:t>
      </w:r>
      <w:r w:rsidRPr="00634A8E">
        <w:rPr>
          <w:rFonts w:ascii="Times New Roman" w:eastAsia="Times New Roman" w:hAnsi="Times New Roman" w:cs="Times New Roman"/>
          <w:b/>
          <w:i/>
          <w:sz w:val="28"/>
          <w:szCs w:val="28"/>
          <w:lang w:eastAsia="ru-RU"/>
        </w:rPr>
        <w:t>»</w:t>
      </w:r>
    </w:p>
    <w:p w:rsidR="009D413C" w:rsidRDefault="00D70254"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современном этапе развития общества во многих выступлениях педагогов, а также статьях средств массовой информации очень остро </w:t>
      </w:r>
      <w:r w:rsidR="00CF326D">
        <w:rPr>
          <w:rFonts w:ascii="Times New Roman" w:eastAsia="Times New Roman" w:hAnsi="Times New Roman" w:cs="Times New Roman"/>
          <w:sz w:val="28"/>
          <w:szCs w:val="28"/>
          <w:lang w:eastAsia="ru-RU"/>
        </w:rPr>
        <w:t>ставится проблема художественно-</w:t>
      </w:r>
      <w:r>
        <w:rPr>
          <w:rFonts w:ascii="Times New Roman" w:eastAsia="Times New Roman" w:hAnsi="Times New Roman" w:cs="Times New Roman"/>
          <w:sz w:val="28"/>
          <w:szCs w:val="28"/>
          <w:lang w:eastAsia="ru-RU"/>
        </w:rPr>
        <w:t>эстетического развития ребенка, его развитие не только интеллектуальное, но и эмоционально-чувственное</w:t>
      </w:r>
      <w:r w:rsidR="00CF326D">
        <w:rPr>
          <w:rFonts w:ascii="Times New Roman" w:eastAsia="Times New Roman" w:hAnsi="Times New Roman" w:cs="Times New Roman"/>
          <w:sz w:val="28"/>
          <w:szCs w:val="28"/>
          <w:lang w:eastAsia="ru-RU"/>
        </w:rPr>
        <w:t>, что не возможно без прикосновения ребенка к миру прекрасного: музыке, танцу, живописи, театру и другим видам искусства. Без восприятия прекрасного, его осознания человек не может считать себя полноценно, гармонично развитой личностью. Лишь умение видеть, переживать, эмоционально откликаться на различные явления создают ту полноту жизни, то ощущение ее разнообразия, которое каждому из нас помогает не только выполнять свою ежедневную работу, но и, прежде всего, находить в ней прекрасное, что обогащает нашу личность, дает толчок для повседневного роста и реализации своего творческого потенциала, а значит, для самореализации.</w:t>
      </w:r>
    </w:p>
    <w:p w:rsidR="00CF326D" w:rsidRDefault="00CF326D"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Работая с детьми, педагог должен всегда решать одну главную проблему музыкального воспитания: научить любить музыку. А значит, если стоит перед</w:t>
      </w:r>
      <w:r w:rsidR="00A150B3">
        <w:rPr>
          <w:rFonts w:ascii="Times New Roman" w:eastAsia="Times New Roman" w:hAnsi="Times New Roman" w:cs="Times New Roman"/>
          <w:sz w:val="28"/>
          <w:szCs w:val="28"/>
          <w:lang w:eastAsia="ru-RU"/>
        </w:rPr>
        <w:t xml:space="preserve"> ним </w:t>
      </w:r>
      <w:r>
        <w:rPr>
          <w:rFonts w:ascii="Times New Roman" w:eastAsia="Times New Roman" w:hAnsi="Times New Roman" w:cs="Times New Roman"/>
          <w:sz w:val="28"/>
          <w:szCs w:val="28"/>
          <w:lang w:eastAsia="ru-RU"/>
        </w:rPr>
        <w:t xml:space="preserve"> такая цель, то необходимо постоянно думать о тех «веревочках», которые </w:t>
      </w:r>
      <w:r w:rsidR="003B4886">
        <w:rPr>
          <w:rFonts w:ascii="Times New Roman" w:eastAsia="Times New Roman" w:hAnsi="Times New Roman" w:cs="Times New Roman"/>
          <w:sz w:val="28"/>
          <w:szCs w:val="28"/>
          <w:lang w:eastAsia="ru-RU"/>
        </w:rPr>
        <w:t>помогут решить эту задачу. Нельзя забывать, что мы работаем с личностями, маленькими, формирующимися, но уже личностями, со своими интересами, вкусами и мотивациями к обучению.</w:t>
      </w:r>
    </w:p>
    <w:p w:rsidR="003B4886" w:rsidRDefault="003B4886"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Большую роль в процессе становления и воспитания ребенка играет, прежде всего, личность педагога, способного увлечь за собой</w:t>
      </w:r>
      <w:r w:rsidR="00C869AC">
        <w:rPr>
          <w:rFonts w:ascii="Times New Roman" w:eastAsia="Times New Roman" w:hAnsi="Times New Roman" w:cs="Times New Roman"/>
          <w:sz w:val="28"/>
          <w:szCs w:val="28"/>
          <w:lang w:eastAsia="ru-RU"/>
        </w:rPr>
        <w:t xml:space="preserve"> в мир </w:t>
      </w:r>
      <w:r w:rsidR="00DB79F8">
        <w:rPr>
          <w:rFonts w:ascii="Times New Roman" w:eastAsia="Times New Roman" w:hAnsi="Times New Roman" w:cs="Times New Roman"/>
          <w:sz w:val="28"/>
          <w:szCs w:val="28"/>
          <w:lang w:eastAsia="ru-RU"/>
        </w:rPr>
        <w:t>ярких эмоций,</w:t>
      </w:r>
      <w:r w:rsidR="00C869AC">
        <w:rPr>
          <w:rFonts w:ascii="Times New Roman" w:eastAsia="Times New Roman" w:hAnsi="Times New Roman" w:cs="Times New Roman"/>
          <w:sz w:val="28"/>
          <w:szCs w:val="28"/>
          <w:lang w:eastAsia="ru-RU"/>
        </w:rPr>
        <w:t xml:space="preserve"> </w:t>
      </w:r>
      <w:r w:rsidR="00DB79F8">
        <w:rPr>
          <w:rFonts w:ascii="Times New Roman" w:eastAsia="Times New Roman" w:hAnsi="Times New Roman" w:cs="Times New Roman"/>
          <w:sz w:val="28"/>
          <w:szCs w:val="28"/>
          <w:lang w:eastAsia="ru-RU"/>
        </w:rPr>
        <w:t>п</w:t>
      </w:r>
      <w:r w:rsidR="00C869AC">
        <w:rPr>
          <w:rFonts w:ascii="Times New Roman" w:eastAsia="Times New Roman" w:hAnsi="Times New Roman" w:cs="Times New Roman"/>
          <w:sz w:val="28"/>
          <w:szCs w:val="28"/>
          <w:lang w:eastAsia="ru-RU"/>
        </w:rPr>
        <w:t>ереживаний,</w:t>
      </w:r>
      <w:r w:rsidR="00A150B3">
        <w:rPr>
          <w:rFonts w:ascii="Times New Roman" w:eastAsia="Times New Roman" w:hAnsi="Times New Roman" w:cs="Times New Roman"/>
          <w:sz w:val="28"/>
          <w:szCs w:val="28"/>
          <w:lang w:eastAsia="ru-RU"/>
        </w:rPr>
        <w:t xml:space="preserve"> чувств и открытий, так как «прекрасное» начинается с </w:t>
      </w:r>
      <w:r w:rsidR="00A150B3">
        <w:rPr>
          <w:rFonts w:ascii="Times New Roman" w:eastAsia="Times New Roman" w:hAnsi="Times New Roman" w:cs="Times New Roman"/>
          <w:sz w:val="28"/>
          <w:szCs w:val="28"/>
          <w:lang w:eastAsia="ru-RU"/>
        </w:rPr>
        <w:lastRenderedPageBreak/>
        <w:t xml:space="preserve">личностного общения. </w:t>
      </w:r>
      <w:r w:rsidR="00C869AC">
        <w:rPr>
          <w:rFonts w:ascii="Times New Roman" w:eastAsia="Times New Roman" w:hAnsi="Times New Roman" w:cs="Times New Roman"/>
          <w:sz w:val="28"/>
          <w:szCs w:val="28"/>
          <w:lang w:eastAsia="ru-RU"/>
        </w:rPr>
        <w:t>Педагог должен в полной мере осознавать это и способствовать не только развитию в</w:t>
      </w:r>
      <w:r w:rsidR="00A150B3">
        <w:rPr>
          <w:rFonts w:ascii="Times New Roman" w:eastAsia="Times New Roman" w:hAnsi="Times New Roman" w:cs="Times New Roman"/>
          <w:sz w:val="28"/>
          <w:szCs w:val="28"/>
          <w:lang w:eastAsia="ru-RU"/>
        </w:rPr>
        <w:t xml:space="preserve"> ребенке разнообразных чувств и</w:t>
      </w:r>
      <w:r w:rsidR="00C869AC">
        <w:rPr>
          <w:rFonts w:ascii="Times New Roman" w:eastAsia="Times New Roman" w:hAnsi="Times New Roman" w:cs="Times New Roman"/>
          <w:sz w:val="28"/>
          <w:szCs w:val="28"/>
          <w:lang w:eastAsia="ru-RU"/>
        </w:rPr>
        <w:t xml:space="preserve"> желания познавать прекрасное, но, прежде всего, работать над самосовершенствованием, как эмоционально-чувственным так и профессиональным. Каждый урок должен превращаться в урок радости, урок-открытие, урок-действо, на который хочется идти, на котором каждый чувствует себя комфортно, находясь в состоянии творческого открытия и игры.</w:t>
      </w:r>
    </w:p>
    <w:p w:rsidR="00C869AC" w:rsidRDefault="00C869AC"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Состояние игры является для детей младшего школьного возраста естественным и просто необходимым. Воспитательное воздействие игровой деятельности общепризнанно. Современная педагогика стремится использовать богатейший арсенал детских игр, воспитывающих действенность, активность личностных качеств учеников, их самостоятельность и инициативность.</w:t>
      </w:r>
    </w:p>
    <w:p w:rsidR="00C869AC" w:rsidRDefault="00C869AC"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 из главных особенностей игровой деятельности заключается в ее активно-творческом характере. Игра всегда связана не только с установившимися правилами (условиями, договоренностями, традициями), но и с выдумкой, изобретательностью, с творческим началом</w:t>
      </w:r>
      <w:r w:rsidR="00202EC6">
        <w:rPr>
          <w:rFonts w:ascii="Times New Roman" w:eastAsia="Times New Roman" w:hAnsi="Times New Roman" w:cs="Times New Roman"/>
          <w:sz w:val="28"/>
          <w:szCs w:val="28"/>
          <w:lang w:eastAsia="ru-RU"/>
        </w:rPr>
        <w:t>, непосредственно выражающим индивидуальные особенности играющего. Поэтому игра – один из результативнейших путей развития всех способностей через такую форму эстетического переживания, как побуждение к творчеству. Более того, ее можно использовать как эффективнейший индикатор новых, ранее не замеченных способностей личности ребенка, которые можно развить и укрепить всем педагогическим процессом.</w:t>
      </w:r>
    </w:p>
    <w:p w:rsidR="00202EC6" w:rsidRDefault="00202EC6"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Несмотря на то, что воспитательное значение игровой деятельности общепризнанно, игра и школа редко сосуществуют успешно. «Всему свое время: есть время для игры и время для работы», «Мы здесь не развлекаться собрались…», - к подобным высказываниям ученики привыкли уже давно. Но с другой стороны, - хорошее учебное упражнение, в результате которого происходит познание, всегда сродни игре. </w:t>
      </w:r>
    </w:p>
    <w:p w:rsidR="00202EC6" w:rsidRDefault="00202EC6"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Отличительной чертой игр является сочетание повторения и неожиданности.</w:t>
      </w:r>
      <w:r w:rsidR="00DB79F8">
        <w:rPr>
          <w:rFonts w:ascii="Times New Roman" w:eastAsia="Times New Roman" w:hAnsi="Times New Roman" w:cs="Times New Roman"/>
          <w:sz w:val="28"/>
          <w:szCs w:val="28"/>
          <w:lang w:eastAsia="ru-RU"/>
        </w:rPr>
        <w:t xml:space="preserve"> Игра – это не только действо детей, это и действо педагога, </w:t>
      </w:r>
      <w:r w:rsidR="00DB79F8">
        <w:rPr>
          <w:rFonts w:ascii="Times New Roman" w:eastAsia="Times New Roman" w:hAnsi="Times New Roman" w:cs="Times New Roman"/>
          <w:sz w:val="28"/>
          <w:szCs w:val="28"/>
          <w:lang w:eastAsia="ru-RU"/>
        </w:rPr>
        <w:lastRenderedPageBreak/>
        <w:t>который должен сбросить с себя «все взрослое», а главным образом то внешнее взрослое, что присуще их административной роли, и выбрать нужные формы общения, включающие: выбор интонации, способ объяснения и показа, манеры держ</w:t>
      </w:r>
      <w:r w:rsidR="00AE3BA5">
        <w:rPr>
          <w:rFonts w:ascii="Times New Roman" w:eastAsia="Times New Roman" w:hAnsi="Times New Roman" w:cs="Times New Roman"/>
          <w:sz w:val="28"/>
          <w:szCs w:val="28"/>
          <w:lang w:eastAsia="ru-RU"/>
        </w:rPr>
        <w:t>аться. Только тогда игра приобре</w:t>
      </w:r>
      <w:r w:rsidR="00DB79F8">
        <w:rPr>
          <w:rFonts w:ascii="Times New Roman" w:eastAsia="Times New Roman" w:hAnsi="Times New Roman" w:cs="Times New Roman"/>
          <w:sz w:val="28"/>
          <w:szCs w:val="28"/>
          <w:lang w:eastAsia="ru-RU"/>
        </w:rPr>
        <w:t xml:space="preserve">тет ценность и не будет выглядеть «внешней», не интересной никому: ни ученику, </w:t>
      </w:r>
      <w:r w:rsidR="00AE3BA5">
        <w:rPr>
          <w:rFonts w:ascii="Times New Roman" w:eastAsia="Times New Roman" w:hAnsi="Times New Roman" w:cs="Times New Roman"/>
          <w:sz w:val="28"/>
          <w:szCs w:val="28"/>
          <w:lang w:eastAsia="ru-RU"/>
        </w:rPr>
        <w:t xml:space="preserve">ни педагогу, </w:t>
      </w:r>
      <w:r w:rsidR="00DB79F8">
        <w:rPr>
          <w:rFonts w:ascii="Times New Roman" w:eastAsia="Times New Roman" w:hAnsi="Times New Roman" w:cs="Times New Roman"/>
          <w:sz w:val="28"/>
          <w:szCs w:val="28"/>
          <w:lang w:eastAsia="ru-RU"/>
        </w:rPr>
        <w:t xml:space="preserve">дающему новый </w:t>
      </w:r>
      <w:r w:rsidR="00AE3BA5">
        <w:rPr>
          <w:rFonts w:ascii="Times New Roman" w:eastAsia="Times New Roman" w:hAnsi="Times New Roman" w:cs="Times New Roman"/>
          <w:sz w:val="28"/>
          <w:szCs w:val="28"/>
          <w:lang w:eastAsia="ru-RU"/>
        </w:rPr>
        <w:t xml:space="preserve">учебный </w:t>
      </w:r>
      <w:r w:rsidR="00DB79F8">
        <w:rPr>
          <w:rFonts w:ascii="Times New Roman" w:eastAsia="Times New Roman" w:hAnsi="Times New Roman" w:cs="Times New Roman"/>
          <w:sz w:val="28"/>
          <w:szCs w:val="28"/>
          <w:lang w:eastAsia="ru-RU"/>
        </w:rPr>
        <w:t>материал.</w:t>
      </w:r>
    </w:p>
    <w:p w:rsidR="00CF326D" w:rsidRDefault="00DB79F8"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дореволюционной России каждая городская барышня умела сыграть на фортепиано</w:t>
      </w:r>
      <w:r w:rsidR="005D27AF">
        <w:rPr>
          <w:rFonts w:ascii="Times New Roman" w:eastAsia="Times New Roman" w:hAnsi="Times New Roman" w:cs="Times New Roman"/>
          <w:sz w:val="28"/>
          <w:szCs w:val="28"/>
          <w:lang w:eastAsia="ru-RU"/>
        </w:rPr>
        <w:t xml:space="preserve"> или спеть романс. Всему этому она училась не в музыкальных школах или школах искусств, а у домашнего учителя музыки, как правило профессионального и образованнейшего музыканта. И если сравнить подход к обучению преподавателя детской школы искусств и домашнего учителя музыки, то разница будет заключаться в самой цели: школьный педагог «втискивает» ученика в учебный план, зачастую в ущерб музыке, не считаясь со способностями ребенка, а домашний педагог стремится, прежде всего, удержать ученика, прививая ему любовь к музыке, все время старается его заинтересовать. </w:t>
      </w:r>
    </w:p>
    <w:p w:rsidR="005D27AF" w:rsidRDefault="005D27AF" w:rsidP="00D7025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Поэтому, принимая ребенка в свой класс, мы принимаем его, пре</w:t>
      </w:r>
      <w:r w:rsidR="00AE3BA5">
        <w:rPr>
          <w:rFonts w:ascii="Times New Roman" w:eastAsia="Times New Roman" w:hAnsi="Times New Roman" w:cs="Times New Roman"/>
          <w:sz w:val="28"/>
          <w:szCs w:val="28"/>
          <w:lang w:eastAsia="ru-RU"/>
        </w:rPr>
        <w:t xml:space="preserve">жде всего, в музыкальную семью, стараемся создавать атмосферу «домашнего музицирования». </w:t>
      </w:r>
      <w:r>
        <w:rPr>
          <w:rFonts w:ascii="Times New Roman" w:eastAsia="Times New Roman" w:hAnsi="Times New Roman" w:cs="Times New Roman"/>
          <w:sz w:val="28"/>
          <w:szCs w:val="28"/>
          <w:lang w:eastAsia="ru-RU"/>
        </w:rPr>
        <w:t>Важно знать о ребенке все: его привычки, характер, склонности. Эти подробности позволяют легко находить с детьми общий язык. Дети, доверяя педагогу, стараются как можно лучше выполнять задания. Они быстро продвигаются в обуч</w:t>
      </w:r>
      <w:r w:rsidR="00A150B3">
        <w:rPr>
          <w:rFonts w:ascii="Times New Roman" w:eastAsia="Times New Roman" w:hAnsi="Times New Roman" w:cs="Times New Roman"/>
          <w:sz w:val="28"/>
          <w:szCs w:val="28"/>
          <w:lang w:eastAsia="ru-RU"/>
        </w:rPr>
        <w:t>ении, все знания и навыки ложат</w:t>
      </w:r>
      <w:r>
        <w:rPr>
          <w:rFonts w:ascii="Times New Roman" w:eastAsia="Times New Roman" w:hAnsi="Times New Roman" w:cs="Times New Roman"/>
          <w:sz w:val="28"/>
          <w:szCs w:val="28"/>
          <w:lang w:eastAsia="ru-RU"/>
        </w:rPr>
        <w:t>ся на положительную эмоциональную основу, что является важным условием при любой учебе.</w:t>
      </w:r>
    </w:p>
    <w:p w:rsidR="00C46D6A" w:rsidRPr="00A150B3" w:rsidRDefault="005D27AF" w:rsidP="00A150B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Подводя итог, следует отметить, что регулярное использование </w:t>
      </w:r>
      <w:r w:rsidR="00A150B3">
        <w:rPr>
          <w:rFonts w:ascii="Times New Roman" w:eastAsia="Times New Roman" w:hAnsi="Times New Roman" w:cs="Times New Roman"/>
          <w:sz w:val="28"/>
          <w:szCs w:val="28"/>
          <w:lang w:eastAsia="ru-RU"/>
        </w:rPr>
        <w:t>на занятиях в школе искусств игровых ситуаций дает возможность активизировать способность детей самостоятельно мыслить, проявлять свою инициативу, воспитывает в конечном итоге творческую, деятельную  личность, способную выдвигать новые идеи и решать нестандартные ситуации и проблемы.</w:t>
      </w:r>
    </w:p>
    <w:p w:rsidR="00AE3BA5" w:rsidRDefault="00AE3BA5" w:rsidP="00D70254">
      <w:pPr>
        <w:pStyle w:val="a3"/>
        <w:spacing w:after="0" w:line="360" w:lineRule="auto"/>
        <w:ind w:left="0" w:firstLine="567"/>
        <w:jc w:val="center"/>
        <w:rPr>
          <w:rFonts w:ascii="Times New Roman" w:eastAsia="Times New Roman" w:hAnsi="Times New Roman" w:cs="Times New Roman"/>
          <w:b/>
          <w:sz w:val="28"/>
          <w:szCs w:val="28"/>
          <w:lang w:eastAsia="ru-RU"/>
        </w:rPr>
      </w:pPr>
    </w:p>
    <w:p w:rsidR="00634A8E" w:rsidRPr="00634A8E" w:rsidRDefault="00634A8E" w:rsidP="00D70254">
      <w:pPr>
        <w:pStyle w:val="a3"/>
        <w:spacing w:after="0" w:line="360" w:lineRule="auto"/>
        <w:ind w:left="0" w:firstLine="567"/>
        <w:jc w:val="center"/>
        <w:rPr>
          <w:rFonts w:ascii="Times New Roman" w:eastAsia="Times New Roman" w:hAnsi="Times New Roman" w:cs="Times New Roman"/>
          <w:b/>
          <w:sz w:val="28"/>
          <w:szCs w:val="28"/>
          <w:lang w:eastAsia="ru-RU"/>
        </w:rPr>
      </w:pPr>
      <w:r w:rsidRPr="00634A8E">
        <w:rPr>
          <w:rFonts w:ascii="Times New Roman" w:eastAsia="Times New Roman" w:hAnsi="Times New Roman" w:cs="Times New Roman"/>
          <w:b/>
          <w:sz w:val="28"/>
          <w:szCs w:val="28"/>
          <w:lang w:eastAsia="ru-RU"/>
        </w:rPr>
        <w:lastRenderedPageBreak/>
        <w:t>Список литературы:</w:t>
      </w:r>
    </w:p>
    <w:p w:rsidR="00806CDF" w:rsidRPr="00806CDF" w:rsidRDefault="00806CDF" w:rsidP="00806CDF">
      <w:pPr>
        <w:numPr>
          <w:ilvl w:val="0"/>
          <w:numId w:val="15"/>
        </w:numPr>
        <w:tabs>
          <w:tab w:val="left" w:pos="3212"/>
        </w:tabs>
        <w:jc w:val="both"/>
        <w:rPr>
          <w:rFonts w:ascii="Times New Roman" w:hAnsi="Times New Roman" w:cs="Times New Roman"/>
          <w:sz w:val="28"/>
          <w:szCs w:val="28"/>
        </w:rPr>
      </w:pPr>
      <w:r w:rsidRPr="00806CDF">
        <w:rPr>
          <w:rFonts w:ascii="Times New Roman" w:hAnsi="Times New Roman" w:cs="Times New Roman"/>
          <w:sz w:val="28"/>
          <w:szCs w:val="28"/>
        </w:rPr>
        <w:t>Артоболевская А. «Первая встреча с музыкой»:</w:t>
      </w:r>
      <w:r>
        <w:rPr>
          <w:rFonts w:ascii="Times New Roman" w:hAnsi="Times New Roman" w:cs="Times New Roman"/>
          <w:sz w:val="28"/>
          <w:szCs w:val="28"/>
        </w:rPr>
        <w:t xml:space="preserve"> </w:t>
      </w:r>
      <w:r w:rsidRPr="00806CDF">
        <w:rPr>
          <w:rFonts w:ascii="Times New Roman" w:hAnsi="Times New Roman" w:cs="Times New Roman"/>
          <w:sz w:val="28"/>
          <w:szCs w:val="28"/>
        </w:rPr>
        <w:t>уч. пособие,- М.:»</w:t>
      </w:r>
      <w:r>
        <w:rPr>
          <w:rFonts w:ascii="Times New Roman" w:hAnsi="Times New Roman" w:cs="Times New Roman"/>
          <w:sz w:val="28"/>
          <w:szCs w:val="28"/>
        </w:rPr>
        <w:t xml:space="preserve"> </w:t>
      </w:r>
      <w:r w:rsidRPr="00806CDF">
        <w:rPr>
          <w:rFonts w:ascii="Times New Roman" w:hAnsi="Times New Roman" w:cs="Times New Roman"/>
          <w:sz w:val="28"/>
          <w:szCs w:val="28"/>
        </w:rPr>
        <w:t>Советский композитор», 1986</w:t>
      </w:r>
    </w:p>
    <w:p w:rsidR="00806CDF" w:rsidRPr="00806CDF" w:rsidRDefault="00806CDF" w:rsidP="00806CDF">
      <w:pPr>
        <w:numPr>
          <w:ilvl w:val="0"/>
          <w:numId w:val="15"/>
        </w:numPr>
        <w:tabs>
          <w:tab w:val="left" w:pos="3212"/>
        </w:tabs>
        <w:jc w:val="both"/>
        <w:rPr>
          <w:rFonts w:ascii="Times New Roman" w:hAnsi="Times New Roman" w:cs="Times New Roman"/>
          <w:sz w:val="28"/>
          <w:szCs w:val="28"/>
        </w:rPr>
      </w:pPr>
      <w:r w:rsidRPr="00806CDF">
        <w:rPr>
          <w:rFonts w:ascii="Times New Roman" w:hAnsi="Times New Roman" w:cs="Times New Roman"/>
          <w:sz w:val="28"/>
          <w:szCs w:val="28"/>
        </w:rPr>
        <w:t>Гинзбург Л. «О работе над музыкальным произведением», 4-е издание, М., 1981</w:t>
      </w:r>
    </w:p>
    <w:p w:rsidR="00806CDF" w:rsidRPr="00806CDF" w:rsidRDefault="00806CDF" w:rsidP="00806CDF">
      <w:pPr>
        <w:numPr>
          <w:ilvl w:val="0"/>
          <w:numId w:val="15"/>
        </w:numPr>
        <w:tabs>
          <w:tab w:val="left" w:pos="3212"/>
        </w:tabs>
        <w:jc w:val="both"/>
        <w:rPr>
          <w:rFonts w:ascii="Times New Roman" w:hAnsi="Times New Roman" w:cs="Times New Roman"/>
          <w:sz w:val="28"/>
          <w:szCs w:val="28"/>
        </w:rPr>
      </w:pPr>
      <w:r w:rsidRPr="00806CDF">
        <w:rPr>
          <w:rFonts w:ascii="Times New Roman" w:hAnsi="Times New Roman" w:cs="Times New Roman"/>
          <w:sz w:val="28"/>
          <w:szCs w:val="28"/>
        </w:rPr>
        <w:t>Коган Г. «У врат мастерства»-М.: Классика-</w:t>
      </w:r>
      <w:r w:rsidRPr="00806CDF">
        <w:rPr>
          <w:rFonts w:ascii="Times New Roman" w:hAnsi="Times New Roman" w:cs="Times New Roman"/>
          <w:sz w:val="28"/>
          <w:szCs w:val="28"/>
          <w:lang w:val="en-US"/>
        </w:rPr>
        <w:t>XXI</w:t>
      </w:r>
      <w:r w:rsidRPr="00806CDF">
        <w:rPr>
          <w:rFonts w:ascii="Times New Roman" w:hAnsi="Times New Roman" w:cs="Times New Roman"/>
          <w:sz w:val="28"/>
          <w:szCs w:val="28"/>
        </w:rPr>
        <w:t>, 2004, с. 136</w:t>
      </w:r>
    </w:p>
    <w:p w:rsidR="00806CDF" w:rsidRPr="00806CDF" w:rsidRDefault="00806CDF" w:rsidP="00806CDF">
      <w:pPr>
        <w:numPr>
          <w:ilvl w:val="0"/>
          <w:numId w:val="15"/>
        </w:numPr>
        <w:tabs>
          <w:tab w:val="left" w:pos="3212"/>
        </w:tabs>
        <w:jc w:val="both"/>
        <w:rPr>
          <w:rFonts w:ascii="Times New Roman" w:hAnsi="Times New Roman" w:cs="Times New Roman"/>
          <w:sz w:val="28"/>
          <w:szCs w:val="28"/>
        </w:rPr>
      </w:pPr>
      <w:r w:rsidRPr="00806CDF">
        <w:rPr>
          <w:rFonts w:ascii="Times New Roman" w:hAnsi="Times New Roman" w:cs="Times New Roman"/>
          <w:sz w:val="28"/>
          <w:szCs w:val="28"/>
        </w:rPr>
        <w:t xml:space="preserve">Милич Б. «Воспитание ученика пианиста», М.: Кифара, 2002, с. 184 </w:t>
      </w:r>
    </w:p>
    <w:p w:rsidR="00806CDF" w:rsidRPr="00806CDF" w:rsidRDefault="00806CDF" w:rsidP="00806CDF">
      <w:pPr>
        <w:numPr>
          <w:ilvl w:val="0"/>
          <w:numId w:val="15"/>
        </w:numPr>
        <w:tabs>
          <w:tab w:val="left" w:pos="3212"/>
        </w:tabs>
        <w:jc w:val="both"/>
        <w:rPr>
          <w:rFonts w:ascii="Times New Roman" w:hAnsi="Times New Roman" w:cs="Times New Roman"/>
          <w:sz w:val="28"/>
          <w:szCs w:val="28"/>
        </w:rPr>
      </w:pPr>
      <w:r w:rsidRPr="00806CDF">
        <w:rPr>
          <w:rFonts w:ascii="Times New Roman" w:hAnsi="Times New Roman" w:cs="Times New Roman"/>
          <w:sz w:val="28"/>
          <w:szCs w:val="28"/>
        </w:rPr>
        <w:t>Михайлова М.А. «Развитие музыкальных способностей детей», г. Ярославль, Академия развития, 1997, с.154</w:t>
      </w:r>
    </w:p>
    <w:p w:rsidR="00806CDF" w:rsidRPr="00806CDF" w:rsidRDefault="00806CDF" w:rsidP="00806CDF">
      <w:pPr>
        <w:numPr>
          <w:ilvl w:val="0"/>
          <w:numId w:val="15"/>
        </w:numPr>
        <w:tabs>
          <w:tab w:val="left" w:pos="3212"/>
        </w:tabs>
        <w:jc w:val="both"/>
        <w:rPr>
          <w:rFonts w:ascii="Times New Roman" w:hAnsi="Times New Roman" w:cs="Times New Roman"/>
          <w:sz w:val="28"/>
          <w:szCs w:val="28"/>
        </w:rPr>
      </w:pPr>
      <w:r w:rsidRPr="00806CDF">
        <w:rPr>
          <w:rFonts w:ascii="Times New Roman" w:hAnsi="Times New Roman" w:cs="Times New Roman"/>
          <w:sz w:val="28"/>
          <w:szCs w:val="28"/>
        </w:rPr>
        <w:t>Щапов А.П. «Фортепианный урок в музыкальной школе и училище», М,: Классика-</w:t>
      </w:r>
      <w:r w:rsidRPr="00806CDF">
        <w:rPr>
          <w:rFonts w:ascii="Times New Roman" w:hAnsi="Times New Roman" w:cs="Times New Roman"/>
          <w:sz w:val="28"/>
          <w:szCs w:val="28"/>
          <w:lang w:val="en-US"/>
        </w:rPr>
        <w:t>XXI</w:t>
      </w:r>
      <w:r w:rsidRPr="00806CDF">
        <w:rPr>
          <w:rFonts w:ascii="Times New Roman" w:hAnsi="Times New Roman" w:cs="Times New Roman"/>
          <w:sz w:val="28"/>
          <w:szCs w:val="28"/>
        </w:rPr>
        <w:t>, 2001, с. 176</w:t>
      </w:r>
    </w:p>
    <w:p w:rsidR="00806CDF" w:rsidRPr="00806CDF" w:rsidRDefault="00806CDF" w:rsidP="00806CDF">
      <w:pPr>
        <w:spacing w:line="360" w:lineRule="auto"/>
        <w:rPr>
          <w:rFonts w:ascii="Times New Roman" w:hAnsi="Times New Roman" w:cs="Times New Roman"/>
          <w:sz w:val="28"/>
          <w:szCs w:val="28"/>
        </w:rPr>
      </w:pPr>
    </w:p>
    <w:p w:rsidR="00806CDF" w:rsidRDefault="00806CDF" w:rsidP="00806CDF">
      <w:pPr>
        <w:spacing w:line="360" w:lineRule="auto"/>
        <w:rPr>
          <w:sz w:val="28"/>
          <w:szCs w:val="28"/>
        </w:rPr>
      </w:pPr>
      <w:r>
        <w:rPr>
          <w:sz w:val="28"/>
          <w:szCs w:val="28"/>
        </w:rPr>
        <w:t xml:space="preserve">     </w:t>
      </w:r>
    </w:p>
    <w:p w:rsidR="0056770D" w:rsidRDefault="0056770D" w:rsidP="00D70254">
      <w:pPr>
        <w:spacing w:after="0" w:line="360" w:lineRule="auto"/>
        <w:ind w:firstLine="567"/>
        <w:jc w:val="both"/>
      </w:pPr>
    </w:p>
    <w:sectPr w:rsidR="0056770D" w:rsidSect="00D70254">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66C" w:rsidRDefault="0038766C" w:rsidP="00E2615B">
      <w:pPr>
        <w:spacing w:after="0" w:line="240" w:lineRule="auto"/>
      </w:pPr>
      <w:r>
        <w:separator/>
      </w:r>
    </w:p>
  </w:endnote>
  <w:endnote w:type="continuationSeparator" w:id="1">
    <w:p w:rsidR="0038766C" w:rsidRDefault="0038766C" w:rsidP="00E26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66C" w:rsidRDefault="0038766C" w:rsidP="00E2615B">
      <w:pPr>
        <w:spacing w:after="0" w:line="240" w:lineRule="auto"/>
      </w:pPr>
      <w:r>
        <w:separator/>
      </w:r>
    </w:p>
  </w:footnote>
  <w:footnote w:type="continuationSeparator" w:id="1">
    <w:p w:rsidR="0038766C" w:rsidRDefault="0038766C" w:rsidP="00E261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2957"/>
    <w:multiLevelType w:val="hybridMultilevel"/>
    <w:tmpl w:val="99086E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C4721F"/>
    <w:multiLevelType w:val="hybridMultilevel"/>
    <w:tmpl w:val="D668E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91A3136"/>
    <w:multiLevelType w:val="hybridMultilevel"/>
    <w:tmpl w:val="597C3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632964"/>
    <w:multiLevelType w:val="hybridMultilevel"/>
    <w:tmpl w:val="DFD47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092832"/>
    <w:multiLevelType w:val="hybridMultilevel"/>
    <w:tmpl w:val="60D0871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20F05D14"/>
    <w:multiLevelType w:val="hybridMultilevel"/>
    <w:tmpl w:val="05806252"/>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6">
    <w:nsid w:val="214166E4"/>
    <w:multiLevelType w:val="hybridMultilevel"/>
    <w:tmpl w:val="008E85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94728E6"/>
    <w:multiLevelType w:val="hybridMultilevel"/>
    <w:tmpl w:val="5B94A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1E6C44"/>
    <w:multiLevelType w:val="hybridMultilevel"/>
    <w:tmpl w:val="D4EA90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51F40EF"/>
    <w:multiLevelType w:val="hybridMultilevel"/>
    <w:tmpl w:val="8FC05A20"/>
    <w:lvl w:ilvl="0" w:tplc="132CD788">
      <w:start w:val="1"/>
      <w:numFmt w:val="decimal"/>
      <w:lvlText w:val="%1."/>
      <w:lvlJc w:val="left"/>
      <w:pPr>
        <w:ind w:left="720" w:hanging="360"/>
      </w:pPr>
      <w:rPr>
        <w:rFonts w:ascii="Times New Roman" w:eastAsiaTheme="minorHAnsi"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7F5687"/>
    <w:multiLevelType w:val="hybridMultilevel"/>
    <w:tmpl w:val="9A589A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BCF601B"/>
    <w:multiLevelType w:val="hybridMultilevel"/>
    <w:tmpl w:val="FC725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D892B57"/>
    <w:multiLevelType w:val="hybridMultilevel"/>
    <w:tmpl w:val="D2323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C3502D"/>
    <w:multiLevelType w:val="hybridMultilevel"/>
    <w:tmpl w:val="0B4A68B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4">
    <w:nsid w:val="7F693E5B"/>
    <w:multiLevelType w:val="hybridMultilevel"/>
    <w:tmpl w:val="E506DDBE"/>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2"/>
  </w:num>
  <w:num w:numId="2">
    <w:abstractNumId w:val="7"/>
  </w:num>
  <w:num w:numId="3">
    <w:abstractNumId w:val="3"/>
  </w:num>
  <w:num w:numId="4">
    <w:abstractNumId w:val="12"/>
  </w:num>
  <w:num w:numId="5">
    <w:abstractNumId w:val="6"/>
  </w:num>
  <w:num w:numId="6">
    <w:abstractNumId w:val="0"/>
  </w:num>
  <w:num w:numId="7">
    <w:abstractNumId w:val="5"/>
  </w:num>
  <w:num w:numId="8">
    <w:abstractNumId w:val="11"/>
  </w:num>
  <w:num w:numId="9">
    <w:abstractNumId w:val="10"/>
  </w:num>
  <w:num w:numId="10">
    <w:abstractNumId w:val="14"/>
  </w:num>
  <w:num w:numId="11">
    <w:abstractNumId w:val="1"/>
  </w:num>
  <w:num w:numId="12">
    <w:abstractNumId w:val="4"/>
  </w:num>
  <w:num w:numId="13">
    <w:abstractNumId w:val="13"/>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2615B"/>
    <w:rsid w:val="00002145"/>
    <w:rsid w:val="00013BDB"/>
    <w:rsid w:val="00084D9F"/>
    <w:rsid w:val="000B68C0"/>
    <w:rsid w:val="00127A0B"/>
    <w:rsid w:val="001B1FBE"/>
    <w:rsid w:val="001B5FFB"/>
    <w:rsid w:val="001B66A3"/>
    <w:rsid w:val="00202EC6"/>
    <w:rsid w:val="002D1774"/>
    <w:rsid w:val="002F245C"/>
    <w:rsid w:val="0038766C"/>
    <w:rsid w:val="003B4886"/>
    <w:rsid w:val="003B577F"/>
    <w:rsid w:val="003B5CA3"/>
    <w:rsid w:val="003C6A5E"/>
    <w:rsid w:val="003D0E0D"/>
    <w:rsid w:val="00400AD9"/>
    <w:rsid w:val="00476A0A"/>
    <w:rsid w:val="004D12EB"/>
    <w:rsid w:val="004E5D51"/>
    <w:rsid w:val="005563A6"/>
    <w:rsid w:val="0056770D"/>
    <w:rsid w:val="005872C7"/>
    <w:rsid w:val="005A5728"/>
    <w:rsid w:val="005A6F86"/>
    <w:rsid w:val="005D27AF"/>
    <w:rsid w:val="006270E7"/>
    <w:rsid w:val="00634A8E"/>
    <w:rsid w:val="006676C4"/>
    <w:rsid w:val="00673656"/>
    <w:rsid w:val="0068028A"/>
    <w:rsid w:val="00682701"/>
    <w:rsid w:val="006A693E"/>
    <w:rsid w:val="006B40A0"/>
    <w:rsid w:val="00747C3A"/>
    <w:rsid w:val="00787BF6"/>
    <w:rsid w:val="00793A4D"/>
    <w:rsid w:val="00806CDF"/>
    <w:rsid w:val="00821A2A"/>
    <w:rsid w:val="00855C57"/>
    <w:rsid w:val="008728F9"/>
    <w:rsid w:val="008735B8"/>
    <w:rsid w:val="00887039"/>
    <w:rsid w:val="008941D5"/>
    <w:rsid w:val="008A431F"/>
    <w:rsid w:val="008B3E6B"/>
    <w:rsid w:val="00925C7E"/>
    <w:rsid w:val="00945598"/>
    <w:rsid w:val="00947A64"/>
    <w:rsid w:val="00973B65"/>
    <w:rsid w:val="009C3278"/>
    <w:rsid w:val="009D413C"/>
    <w:rsid w:val="009E30AA"/>
    <w:rsid w:val="009E7F7C"/>
    <w:rsid w:val="00A150B3"/>
    <w:rsid w:val="00A6564C"/>
    <w:rsid w:val="00AC0FED"/>
    <w:rsid w:val="00AC573F"/>
    <w:rsid w:val="00AD4C50"/>
    <w:rsid w:val="00AE3BA5"/>
    <w:rsid w:val="00AE76A4"/>
    <w:rsid w:val="00AF559F"/>
    <w:rsid w:val="00B23076"/>
    <w:rsid w:val="00BA4153"/>
    <w:rsid w:val="00BE0F5C"/>
    <w:rsid w:val="00BE324B"/>
    <w:rsid w:val="00C46D6A"/>
    <w:rsid w:val="00C869AC"/>
    <w:rsid w:val="00CE3321"/>
    <w:rsid w:val="00CF326D"/>
    <w:rsid w:val="00CF4CFB"/>
    <w:rsid w:val="00D70254"/>
    <w:rsid w:val="00D75521"/>
    <w:rsid w:val="00D75C07"/>
    <w:rsid w:val="00DB7004"/>
    <w:rsid w:val="00DB79F8"/>
    <w:rsid w:val="00DD4294"/>
    <w:rsid w:val="00E10ACF"/>
    <w:rsid w:val="00E2615B"/>
    <w:rsid w:val="00E47AB1"/>
    <w:rsid w:val="00EB7A1D"/>
    <w:rsid w:val="00EC0E1A"/>
    <w:rsid w:val="00EF4696"/>
    <w:rsid w:val="00F04FF2"/>
    <w:rsid w:val="00F97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15B"/>
    <w:pPr>
      <w:ind w:left="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15B"/>
    <w:pPr>
      <w:ind w:left="720"/>
      <w:contextualSpacing/>
    </w:pPr>
  </w:style>
  <w:style w:type="paragraph" w:styleId="a4">
    <w:name w:val="header"/>
    <w:basedOn w:val="a"/>
    <w:link w:val="a5"/>
    <w:uiPriority w:val="99"/>
    <w:semiHidden/>
    <w:unhideWhenUsed/>
    <w:rsid w:val="00E2615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2615B"/>
  </w:style>
  <w:style w:type="paragraph" w:styleId="a6">
    <w:name w:val="footer"/>
    <w:basedOn w:val="a"/>
    <w:link w:val="a7"/>
    <w:uiPriority w:val="99"/>
    <w:semiHidden/>
    <w:unhideWhenUsed/>
    <w:rsid w:val="00E2615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2615B"/>
  </w:style>
  <w:style w:type="character" w:styleId="a8">
    <w:name w:val="Hyperlink"/>
    <w:basedOn w:val="a0"/>
    <w:uiPriority w:val="99"/>
    <w:unhideWhenUsed/>
    <w:rsid w:val="0056770D"/>
    <w:rPr>
      <w:color w:val="0000FF" w:themeColor="hyperlink"/>
      <w:u w:val="single"/>
    </w:rPr>
  </w:style>
  <w:style w:type="table" w:styleId="a9">
    <w:name w:val="Table Grid"/>
    <w:basedOn w:val="a1"/>
    <w:uiPriority w:val="59"/>
    <w:rsid w:val="00634A8E"/>
    <w:pPr>
      <w:spacing w:after="0"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3074108">
      <w:bodyDiv w:val="1"/>
      <w:marLeft w:val="0"/>
      <w:marRight w:val="0"/>
      <w:marTop w:val="0"/>
      <w:marBottom w:val="0"/>
      <w:divBdr>
        <w:top w:val="none" w:sz="0" w:space="0" w:color="auto"/>
        <w:left w:val="none" w:sz="0" w:space="0" w:color="auto"/>
        <w:bottom w:val="none" w:sz="0" w:space="0" w:color="auto"/>
        <w:right w:val="none" w:sz="0" w:space="0" w:color="auto"/>
      </w:divBdr>
    </w:div>
    <w:div w:id="214095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45</cp:revision>
  <dcterms:created xsi:type="dcterms:W3CDTF">2015-01-12T16:43:00Z</dcterms:created>
  <dcterms:modified xsi:type="dcterms:W3CDTF">2017-09-27T07:41:00Z</dcterms:modified>
</cp:coreProperties>
</file>