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5" w:rsidRDefault="00CA1CBB" w:rsidP="00CA1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CBB">
        <w:rPr>
          <w:rFonts w:ascii="Times New Roman" w:hAnsi="Times New Roman" w:cs="Times New Roman"/>
          <w:b/>
          <w:sz w:val="28"/>
          <w:szCs w:val="28"/>
        </w:rPr>
        <w:t>Анализ участия  территорий Пермского края в краевых мероприятиях технической направленности в период с 2015 по 2017 учебные года</w:t>
      </w:r>
    </w:p>
    <w:p w:rsidR="00CA1CBB" w:rsidRDefault="00CA1CBB" w:rsidP="00CA1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Наталья Эдуардовна,</w:t>
      </w:r>
    </w:p>
    <w:p w:rsidR="00CA1CBB" w:rsidRDefault="00CA1CBB" w:rsidP="00CA1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Тюленева Мария Вячеславовна</w:t>
      </w:r>
    </w:p>
    <w:p w:rsidR="00CA1CBB" w:rsidRDefault="00CA1CBB" w:rsidP="00CA1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педагоги-организаторы</w:t>
      </w:r>
    </w:p>
    <w:p w:rsidR="00CA1CBB" w:rsidRDefault="00CA1CBB" w:rsidP="00CA1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ДО «Пермский краевой </w:t>
      </w:r>
    </w:p>
    <w:p w:rsidR="00CA1CBB" w:rsidRDefault="00CA1CBB" w:rsidP="00CA1C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«Муравейник»</w:t>
      </w:r>
    </w:p>
    <w:p w:rsidR="001C0AF0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CBB" w:rsidRDefault="00CA1CBB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Данный анализ представляет собой </w:t>
      </w:r>
      <w:r w:rsidR="0035747D">
        <w:rPr>
          <w:rFonts w:ascii="Times New Roman" w:hAnsi="Times New Roman" w:cs="Times New Roman"/>
          <w:sz w:val="28"/>
          <w:szCs w:val="28"/>
        </w:rPr>
        <w:t xml:space="preserve">аналитический обзор участия территорий Пермского края в краевых мероприятиях технической направленности, в </w:t>
      </w:r>
      <w:r w:rsidR="001C0AF0">
        <w:rPr>
          <w:rFonts w:ascii="Times New Roman" w:hAnsi="Times New Roman" w:cs="Times New Roman"/>
          <w:sz w:val="28"/>
          <w:szCs w:val="28"/>
        </w:rPr>
        <w:t>соответствии</w:t>
      </w:r>
      <w:r w:rsidR="0035747D">
        <w:rPr>
          <w:rFonts w:ascii="Times New Roman" w:hAnsi="Times New Roman" w:cs="Times New Roman"/>
          <w:sz w:val="28"/>
          <w:szCs w:val="28"/>
        </w:rPr>
        <w:t xml:space="preserve"> с планом краевых мероприятий, направленных</w:t>
      </w:r>
      <w:r w:rsidR="001C0AF0">
        <w:rPr>
          <w:rFonts w:ascii="Times New Roman" w:hAnsi="Times New Roman" w:cs="Times New Roman"/>
          <w:sz w:val="28"/>
          <w:szCs w:val="28"/>
        </w:rPr>
        <w:t xml:space="preserve"> на выявление, развитие и поддержку одаренных и талантливых детей и молодежи в области научно-технического творчества, утвержденным приказом Министерства образования и науки Пермского края и ГУ ДО «Пермский краевой центр «Муравейник».</w:t>
      </w:r>
      <w:proofErr w:type="gramEnd"/>
    </w:p>
    <w:p w:rsidR="001C0AF0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предназначен для организаторов органов местного самоуправления муниципальных районов и городских округов Пермского края, осуществляющих управление в сфере образования.</w:t>
      </w:r>
    </w:p>
    <w:p w:rsidR="001C0AF0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Пермский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краевой центр «Муравейник» в течение многих лет работает под руководством Министерства образования и науки Пермского края и проводит следующие мероприятия технической направленности:</w:t>
      </w:r>
    </w:p>
    <w:p w:rsidR="001C0AF0" w:rsidRPr="000B5E59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B5E59">
        <w:rPr>
          <w:rFonts w:ascii="Times New Roman" w:hAnsi="Times New Roman" w:cs="Times New Roman"/>
          <w:sz w:val="28"/>
          <w:szCs w:val="28"/>
        </w:rPr>
        <w:t>Краевой к</w:t>
      </w:r>
      <w:r w:rsidRPr="001C0AF0">
        <w:rPr>
          <w:rFonts w:ascii="Times New Roman" w:hAnsi="Times New Roman" w:cs="Times New Roman"/>
          <w:sz w:val="28"/>
          <w:szCs w:val="28"/>
        </w:rPr>
        <w:t xml:space="preserve">онкурс "Юные </w:t>
      </w:r>
      <w:r w:rsidR="000B5E59">
        <w:rPr>
          <w:rFonts w:ascii="Times New Roman" w:hAnsi="Times New Roman" w:cs="Times New Roman"/>
          <w:sz w:val="28"/>
          <w:szCs w:val="28"/>
        </w:rPr>
        <w:t xml:space="preserve">техники и </w:t>
      </w:r>
      <w:r w:rsidRPr="001C0AF0">
        <w:rPr>
          <w:rFonts w:ascii="Times New Roman" w:hAnsi="Times New Roman" w:cs="Times New Roman"/>
          <w:sz w:val="28"/>
          <w:szCs w:val="28"/>
        </w:rPr>
        <w:t>изобретатели Пермского края"</w:t>
      </w:r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1C0AF0" w:rsidRPr="000B5E59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Краевая </w:t>
      </w:r>
      <w:r w:rsidRPr="001C0AF0">
        <w:rPr>
          <w:rFonts w:ascii="Times New Roman" w:hAnsi="Times New Roman" w:cs="Times New Roman"/>
          <w:sz w:val="28"/>
          <w:szCs w:val="28"/>
        </w:rPr>
        <w:t xml:space="preserve">научно-техническая олимпиада для </w:t>
      </w:r>
      <w:proofErr w:type="gramStart"/>
      <w:r w:rsidRPr="001C0A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1C0AF0" w:rsidRPr="000B5E59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C0AF0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робототехнике среди </w:t>
      </w:r>
      <w:proofErr w:type="gramStart"/>
      <w:r w:rsidRPr="001C0A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1C0AF0" w:rsidRPr="000B5E59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1C0AF0">
        <w:rPr>
          <w:rFonts w:ascii="Times New Roman" w:hAnsi="Times New Roman" w:cs="Times New Roman"/>
          <w:sz w:val="28"/>
          <w:szCs w:val="28"/>
        </w:rPr>
        <w:t>егиональный конкурс по техническому моделированию и макетированию "Юный дизайнер"</w:t>
      </w:r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1C0AF0" w:rsidRPr="000B5E59" w:rsidRDefault="001C0AF0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0AF0"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научно-исследовательских проектов детей и молодежи по проблемам защиты окружающей среды "Человек-Земля-Космос" (Олимпиада "Созвездие")</w:t>
      </w:r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судомодельному спорту (закрытый водоём) среди </w:t>
      </w:r>
      <w:proofErr w:type="gramStart"/>
      <w:r w:rsidRPr="00FE5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комнатным летающим моделям среди </w:t>
      </w:r>
      <w:proofErr w:type="gramStart"/>
      <w:r w:rsidRPr="00FE5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 xml:space="preserve">Краевой конкурс "Юный радиолюбитель" среди </w:t>
      </w:r>
      <w:proofErr w:type="gramStart"/>
      <w:r w:rsidRPr="00FE5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</w:t>
      </w:r>
      <w:proofErr w:type="spellStart"/>
      <w:r w:rsidRPr="00FE538E">
        <w:rPr>
          <w:rFonts w:ascii="Times New Roman" w:hAnsi="Times New Roman" w:cs="Times New Roman"/>
          <w:sz w:val="28"/>
          <w:szCs w:val="28"/>
        </w:rPr>
        <w:t>ракетомодельному</w:t>
      </w:r>
      <w:proofErr w:type="spellEnd"/>
      <w:r w:rsidRPr="00FE538E">
        <w:rPr>
          <w:rFonts w:ascii="Times New Roman" w:hAnsi="Times New Roman" w:cs="Times New Roman"/>
          <w:sz w:val="28"/>
          <w:szCs w:val="28"/>
        </w:rPr>
        <w:t xml:space="preserve"> спорту среди </w:t>
      </w:r>
      <w:proofErr w:type="gramStart"/>
      <w:r w:rsidRPr="00FE538E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судомодельному спорту (открытый водоём) среди </w:t>
      </w:r>
      <w:proofErr w:type="gramStart"/>
      <w:r w:rsidRPr="00FE5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538E">
        <w:rPr>
          <w:rFonts w:ascii="Times New Roman" w:hAnsi="Times New Roman" w:cs="Times New Roman"/>
          <w:sz w:val="28"/>
          <w:szCs w:val="28"/>
        </w:rPr>
        <w:t>Краевой конкурс по теории решения изобретате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E538E">
        <w:rPr>
          <w:rFonts w:ascii="Times New Roman" w:hAnsi="Times New Roman" w:cs="Times New Roman"/>
          <w:sz w:val="28"/>
          <w:szCs w:val="28"/>
        </w:rPr>
        <w:t>ьских задач "Время творить и изобретать!"</w:t>
      </w:r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Pr="000B5E59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F32">
        <w:rPr>
          <w:rFonts w:ascii="Times New Roman" w:hAnsi="Times New Roman" w:cs="Times New Roman"/>
          <w:sz w:val="28"/>
          <w:szCs w:val="28"/>
        </w:rPr>
        <w:t xml:space="preserve">Первенство Пермского края по радиоспорту среди </w:t>
      </w:r>
      <w:proofErr w:type="gramStart"/>
      <w:r w:rsidR="000F1F3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 w:rsidRPr="000B5E59">
        <w:rPr>
          <w:rFonts w:ascii="Times New Roman" w:hAnsi="Times New Roman" w:cs="Times New Roman"/>
          <w:sz w:val="28"/>
          <w:szCs w:val="28"/>
        </w:rPr>
        <w:t>;</w:t>
      </w:r>
    </w:p>
    <w:p w:rsidR="00FE538E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E59">
        <w:rPr>
          <w:rFonts w:ascii="Times New Roman" w:hAnsi="Times New Roman" w:cs="Times New Roman"/>
          <w:sz w:val="28"/>
          <w:szCs w:val="28"/>
        </w:rPr>
        <w:t xml:space="preserve">Всероссийская научно-техническая олимпиада по </w:t>
      </w:r>
      <w:proofErr w:type="spellStart"/>
      <w:r w:rsidR="000B5E59">
        <w:rPr>
          <w:rFonts w:ascii="Times New Roman" w:hAnsi="Times New Roman" w:cs="Times New Roman"/>
          <w:sz w:val="28"/>
          <w:szCs w:val="28"/>
        </w:rPr>
        <w:t>авиамоделированию</w:t>
      </w:r>
      <w:proofErr w:type="spellEnd"/>
      <w:r w:rsidR="000B5E59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gramStart"/>
      <w:r w:rsidR="000B5E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E59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0B5E59" w:rsidRPr="000B5E59">
        <w:rPr>
          <w:rFonts w:ascii="Times New Roman" w:hAnsi="Times New Roman" w:cs="Times New Roman"/>
          <w:sz w:val="28"/>
          <w:szCs w:val="28"/>
        </w:rPr>
        <w:t xml:space="preserve">: </w:t>
      </w:r>
      <w:r w:rsidR="000B5E59">
        <w:rPr>
          <w:rFonts w:ascii="Times New Roman" w:hAnsi="Times New Roman" w:cs="Times New Roman"/>
          <w:sz w:val="28"/>
          <w:szCs w:val="28"/>
        </w:rPr>
        <w:t xml:space="preserve">радиоуправляемые модели и </w:t>
      </w:r>
      <w:r w:rsidRPr="00FE538E">
        <w:rPr>
          <w:rFonts w:ascii="Times New Roman" w:hAnsi="Times New Roman" w:cs="Times New Roman"/>
          <w:sz w:val="28"/>
          <w:szCs w:val="28"/>
        </w:rPr>
        <w:t>Первенство России по авиационным радиоуправляемым моделям</w:t>
      </w:r>
      <w:r w:rsidR="000F1F32">
        <w:rPr>
          <w:rFonts w:ascii="Times New Roman" w:hAnsi="Times New Roman" w:cs="Times New Roman"/>
          <w:sz w:val="28"/>
          <w:szCs w:val="28"/>
        </w:rPr>
        <w:t>.</w:t>
      </w:r>
    </w:p>
    <w:p w:rsidR="000F1F32" w:rsidRPr="000F1F32" w:rsidRDefault="000F1F32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32">
        <w:rPr>
          <w:rFonts w:ascii="Times New Roman" w:hAnsi="Times New Roman" w:cs="Times New Roman"/>
          <w:sz w:val="28"/>
          <w:szCs w:val="28"/>
        </w:rPr>
        <w:t>Количество участников в мероприятиях 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32">
        <w:rPr>
          <w:rFonts w:ascii="Times New Roman" w:hAnsi="Times New Roman" w:cs="Times New Roman"/>
          <w:sz w:val="28"/>
          <w:szCs w:val="28"/>
        </w:rPr>
        <w:t xml:space="preserve">ГУ </w:t>
      </w:r>
      <w:proofErr w:type="gramStart"/>
      <w:r w:rsidRPr="000F1F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1F3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F1F32">
        <w:rPr>
          <w:rFonts w:ascii="Times New Roman" w:hAnsi="Times New Roman" w:cs="Times New Roman"/>
          <w:sz w:val="28"/>
          <w:szCs w:val="28"/>
        </w:rPr>
        <w:t>Пермский</w:t>
      </w:r>
      <w:proofErr w:type="gramEnd"/>
      <w:r w:rsidRPr="000F1F32">
        <w:rPr>
          <w:rFonts w:ascii="Times New Roman" w:hAnsi="Times New Roman" w:cs="Times New Roman"/>
          <w:sz w:val="28"/>
          <w:szCs w:val="28"/>
        </w:rPr>
        <w:t xml:space="preserve"> краевой центр «Муравейник»</w:t>
      </w:r>
    </w:p>
    <w:p w:rsidR="000F1F32" w:rsidRDefault="000F1F32" w:rsidP="007865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1F3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086100" cy="16097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747960">
        <w:rPr>
          <w:rFonts w:ascii="Times New Roman" w:hAnsi="Times New Roman" w:cs="Times New Roman"/>
          <w:sz w:val="24"/>
          <w:szCs w:val="28"/>
        </w:rPr>
        <w:t xml:space="preserve"> рис. 1</w:t>
      </w:r>
    </w:p>
    <w:p w:rsidR="0078658C" w:rsidRDefault="000F1F32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представленной выше диаграммы</w:t>
      </w:r>
      <w:r w:rsidR="00747960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78658C">
        <w:rPr>
          <w:rFonts w:ascii="Times New Roman" w:hAnsi="Times New Roman" w:cs="Times New Roman"/>
          <w:sz w:val="28"/>
          <w:szCs w:val="28"/>
        </w:rPr>
        <w:t>в крае возрастает интерес к мероприятиям технической направленности.</w:t>
      </w:r>
    </w:p>
    <w:p w:rsidR="0078658C" w:rsidRDefault="0078658C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востребованными (многочисленными) из них являются</w:t>
      </w:r>
      <w:r w:rsidR="007479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4796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747960">
        <w:rPr>
          <w:rFonts w:ascii="Times New Roman" w:hAnsi="Times New Roman" w:cs="Times New Roman"/>
          <w:sz w:val="28"/>
          <w:szCs w:val="28"/>
        </w:rPr>
        <w:t>. рис.2)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658C" w:rsidRDefault="0078658C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Краевая </w:t>
      </w:r>
      <w:r w:rsidRPr="001C0AF0">
        <w:rPr>
          <w:rFonts w:ascii="Times New Roman" w:hAnsi="Times New Roman" w:cs="Times New Roman"/>
          <w:sz w:val="28"/>
          <w:szCs w:val="28"/>
        </w:rPr>
        <w:t xml:space="preserve">научно-техническая олимпиада для </w:t>
      </w:r>
      <w:proofErr w:type="gramStart"/>
      <w:r w:rsidRPr="001C0A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47960">
        <w:rPr>
          <w:rFonts w:ascii="Times New Roman" w:hAnsi="Times New Roman" w:cs="Times New Roman"/>
          <w:sz w:val="28"/>
          <w:szCs w:val="28"/>
        </w:rPr>
        <w:t>;</w:t>
      </w:r>
    </w:p>
    <w:p w:rsidR="0078658C" w:rsidRDefault="0078658C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C0AF0">
        <w:rPr>
          <w:rFonts w:ascii="Times New Roman" w:hAnsi="Times New Roman" w:cs="Times New Roman"/>
          <w:sz w:val="28"/>
          <w:szCs w:val="28"/>
        </w:rPr>
        <w:t>егиональный конкурс по техническому моделированию и макетированию "Юный дизайнер"</w:t>
      </w:r>
      <w:r w:rsidR="00747960">
        <w:rPr>
          <w:rFonts w:ascii="Times New Roman" w:hAnsi="Times New Roman" w:cs="Times New Roman"/>
          <w:sz w:val="28"/>
          <w:szCs w:val="28"/>
        </w:rPr>
        <w:t>;</w:t>
      </w:r>
    </w:p>
    <w:p w:rsidR="0078658C" w:rsidRDefault="0078658C" w:rsidP="00786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0AF0"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научно-исследовательских проектов детей и молодежи по проблемам защиты окружающей среды "Человек-Земля-Космос" (Олимпиада "Созвездие")</w:t>
      </w:r>
    </w:p>
    <w:p w:rsidR="00747960" w:rsidRPr="00747960" w:rsidRDefault="00747960" w:rsidP="0078658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1590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3969"/>
        <w:gridCol w:w="3793"/>
      </w:tblGrid>
      <w:tr w:rsidR="0078658C" w:rsidRPr="006C0BE5" w:rsidTr="00163744">
        <w:tc>
          <w:tcPr>
            <w:tcW w:w="3828" w:type="dxa"/>
          </w:tcPr>
          <w:p w:rsidR="0078658C" w:rsidRPr="006C0BE5" w:rsidRDefault="0078658C" w:rsidP="00843A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Краева</w:t>
            </w:r>
            <w:r w:rsidRPr="006C0BE5">
              <w:rPr>
                <w:rFonts w:ascii="Times New Roman" w:hAnsi="Times New Roman" w:cs="Times New Roman"/>
                <w:sz w:val="24"/>
                <w:szCs w:val="28"/>
              </w:rPr>
              <w:t xml:space="preserve">я научно-техническая олимпиада для </w:t>
            </w:r>
            <w:proofErr w:type="gramStart"/>
            <w:r w:rsidRPr="006C0BE5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3969" w:type="dxa"/>
          </w:tcPr>
          <w:p w:rsidR="0078658C" w:rsidRPr="006C0BE5" w:rsidRDefault="0078658C" w:rsidP="00843A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0BE5">
              <w:rPr>
                <w:rFonts w:ascii="Times New Roman" w:hAnsi="Times New Roman" w:cs="Times New Roman"/>
                <w:sz w:val="24"/>
                <w:szCs w:val="28"/>
              </w:rPr>
              <w:t>Открытый региональный конкурс по техническому моделированию и макетированию «Юный дизайнер»</w:t>
            </w:r>
          </w:p>
        </w:tc>
        <w:tc>
          <w:tcPr>
            <w:tcW w:w="3793" w:type="dxa"/>
          </w:tcPr>
          <w:p w:rsidR="0078658C" w:rsidRPr="006C0BE5" w:rsidRDefault="0078658C" w:rsidP="00163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0BE5"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этап Всероссийской олимпиады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научно-исследовательских и у</w:t>
            </w:r>
            <w:r w:rsidRPr="006C0BE5">
              <w:rPr>
                <w:rFonts w:ascii="Times New Roman" w:hAnsi="Times New Roman" w:cs="Times New Roman"/>
                <w:sz w:val="24"/>
                <w:szCs w:val="28"/>
              </w:rPr>
              <w:t>чебно-исследовательских проектов детей и молодежи по проблемам защиты окружающей среды  «Человек - Земля - Космос»</w:t>
            </w:r>
            <w:r w:rsidR="00163744">
              <w:rPr>
                <w:rFonts w:ascii="Times New Roman" w:hAnsi="Times New Roman" w:cs="Times New Roman"/>
                <w:sz w:val="24"/>
                <w:szCs w:val="28"/>
              </w:rPr>
              <w:t xml:space="preserve"> («Созвездие»)</w:t>
            </w:r>
          </w:p>
        </w:tc>
      </w:tr>
      <w:tr w:rsidR="0078658C" w:rsidRPr="00797661" w:rsidTr="00163744">
        <w:trPr>
          <w:trHeight w:val="3140"/>
        </w:trPr>
        <w:tc>
          <w:tcPr>
            <w:tcW w:w="3828" w:type="dxa"/>
          </w:tcPr>
          <w:p w:rsidR="0078658C" w:rsidRPr="00797661" w:rsidRDefault="0078658C" w:rsidP="00843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58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29180" cy="1819275"/>
                  <wp:effectExtent l="19050" t="0" r="13970" b="0"/>
                  <wp:docPr id="16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78658C" w:rsidRPr="00797661" w:rsidRDefault="0078658C" w:rsidP="0084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00275" cy="1895475"/>
                  <wp:effectExtent l="19050" t="0" r="9525" b="0"/>
                  <wp:docPr id="5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78658C" w:rsidRPr="00797661" w:rsidRDefault="0078658C" w:rsidP="0084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00300" cy="1771650"/>
                  <wp:effectExtent l="19050" t="0" r="19050" b="0"/>
                  <wp:docPr id="15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747960" w:rsidRDefault="00747960" w:rsidP="007479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C4175D" w:rsidRDefault="0078658C" w:rsidP="00C4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анализа участия территорий Пермского края в мероприятиях технической направленности</w:t>
      </w:r>
      <w:r w:rsidR="005E0DED">
        <w:rPr>
          <w:rFonts w:ascii="Times New Roman" w:hAnsi="Times New Roman" w:cs="Times New Roman"/>
          <w:sz w:val="28"/>
          <w:szCs w:val="28"/>
        </w:rPr>
        <w:t xml:space="preserve"> удалось выявить, что многие территории показали повышенный интерес к мероприятия</w:t>
      </w:r>
      <w:r w:rsidR="00C4175D">
        <w:rPr>
          <w:rFonts w:ascii="Times New Roman" w:hAnsi="Times New Roman" w:cs="Times New Roman"/>
          <w:sz w:val="28"/>
          <w:szCs w:val="28"/>
        </w:rPr>
        <w:t>м</w:t>
      </w:r>
      <w:r w:rsidR="005E0D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75D" w:rsidRDefault="00C4175D" w:rsidP="00C4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Ежегодно принимают участие в</w:t>
      </w:r>
      <w:r w:rsidR="005E0DE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5E0DED">
        <w:rPr>
          <w:rFonts w:ascii="Times New Roman" w:hAnsi="Times New Roman" w:cs="Times New Roman"/>
          <w:sz w:val="28"/>
          <w:szCs w:val="28"/>
        </w:rPr>
        <w:t xml:space="preserve">: г. Березники, г. Пермь, г. Соликамск, Горнозаводский, </w:t>
      </w:r>
      <w:proofErr w:type="spellStart"/>
      <w:r w:rsidR="005E0DED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5E0DED">
        <w:rPr>
          <w:rFonts w:ascii="Times New Roman" w:hAnsi="Times New Roman" w:cs="Times New Roman"/>
          <w:sz w:val="28"/>
          <w:szCs w:val="28"/>
        </w:rPr>
        <w:t>, Карагайский</w:t>
      </w:r>
      <w:r w:rsidR="00FE48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883">
        <w:rPr>
          <w:rFonts w:ascii="Times New Roman" w:hAnsi="Times New Roman" w:cs="Times New Roman"/>
          <w:sz w:val="28"/>
          <w:szCs w:val="28"/>
        </w:rPr>
        <w:t>Кизеловский</w:t>
      </w:r>
      <w:proofErr w:type="spellEnd"/>
      <w:r w:rsidR="00FE48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883"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 w:rsidR="00FE4883">
        <w:rPr>
          <w:rFonts w:ascii="Times New Roman" w:hAnsi="Times New Roman" w:cs="Times New Roman"/>
          <w:sz w:val="28"/>
          <w:szCs w:val="28"/>
        </w:rPr>
        <w:t xml:space="preserve">, Октябрьский, </w:t>
      </w:r>
      <w:proofErr w:type="spellStart"/>
      <w:r w:rsidR="00FE4883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="00FE4883">
        <w:rPr>
          <w:rFonts w:ascii="Times New Roman" w:hAnsi="Times New Roman" w:cs="Times New Roman"/>
          <w:sz w:val="28"/>
          <w:szCs w:val="28"/>
        </w:rPr>
        <w:t xml:space="preserve">, Пермский, Чайковский, Чердынский, </w:t>
      </w:r>
      <w:proofErr w:type="spellStart"/>
      <w:r w:rsidR="00FE4883">
        <w:rPr>
          <w:rFonts w:ascii="Times New Roman" w:hAnsi="Times New Roman" w:cs="Times New Roman"/>
          <w:sz w:val="28"/>
          <w:szCs w:val="28"/>
        </w:rPr>
        <w:t>Чусовский</w:t>
      </w:r>
      <w:proofErr w:type="spellEnd"/>
      <w:r w:rsidR="00FE4883">
        <w:rPr>
          <w:rFonts w:ascii="Times New Roman" w:hAnsi="Times New Roman" w:cs="Times New Roman"/>
          <w:sz w:val="28"/>
          <w:szCs w:val="28"/>
        </w:rPr>
        <w:t xml:space="preserve"> районы и </w:t>
      </w:r>
      <w:proofErr w:type="spellStart"/>
      <w:r w:rsidR="00FE4883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="00FE4883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Их них наиболее активны: г. Березники, г. Пермь, г. Соликамск, Октябрьский, Пермский, Чайковский районы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округ. </w:t>
      </w:r>
      <w:proofErr w:type="gramEnd"/>
    </w:p>
    <w:p w:rsidR="00C4175D" w:rsidRDefault="00C4175D" w:rsidP="00C417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территории, которые еще не принимали участие в мероприятиях (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принимают крайне редко):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Кунгур, Александровский, Березовский,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Большесосновский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Ильинский,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C4175D" w:rsidRDefault="00C4175D" w:rsidP="00C4175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целом, анализ участия территорий Пермского края в краевых мероприятиях свидетельствует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заинтересованности городов и районов в сохранении и приумножении научно-технического потенциала молодого поколения.</w:t>
      </w:r>
    </w:p>
    <w:p w:rsidR="000F1F32" w:rsidRDefault="000F1F32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38E" w:rsidRPr="00CA1CBB" w:rsidRDefault="00FE538E" w:rsidP="001C0A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CBB" w:rsidRPr="00CA1CBB" w:rsidRDefault="00CA1CBB" w:rsidP="00CA1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A1CBB" w:rsidRPr="00CA1CBB" w:rsidSect="0078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CBB"/>
    <w:rsid w:val="000B5E59"/>
    <w:rsid w:val="000F1F32"/>
    <w:rsid w:val="00163744"/>
    <w:rsid w:val="001C0AF0"/>
    <w:rsid w:val="0035747D"/>
    <w:rsid w:val="004106F6"/>
    <w:rsid w:val="004D514B"/>
    <w:rsid w:val="005E0DED"/>
    <w:rsid w:val="00747960"/>
    <w:rsid w:val="0078658C"/>
    <w:rsid w:val="00A5055C"/>
    <w:rsid w:val="00BD005B"/>
    <w:rsid w:val="00C4175D"/>
    <w:rsid w:val="00CA1CBB"/>
    <w:rsid w:val="00F94864"/>
    <w:rsid w:val="00FE4883"/>
    <w:rsid w:val="00FE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1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Kab1302\&#1086;&#1073;&#1097;&#1072;&#1103;%20&#1087;&#1072;&#1087;&#1082;&#1072;\2016-2017\&#1057;&#1090;&#1072;&#1090;&#1080;&#1089;&#1090;&#1080;&#1082;&#1072;\Analitika_po_territoriam_rassylk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Kab1302\&#1086;&#1073;&#1097;&#1072;&#1103;%20&#1087;&#1072;&#1087;&#1082;&#1072;\2016-2017\&#1057;&#1090;&#1072;&#1090;&#1080;&#1089;&#1090;&#1080;&#1082;&#1072;\Analitika_po_territoriam_rassylk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Kab1302\&#1086;&#1073;&#1097;&#1072;&#1103;%20&#1087;&#1072;&#1087;&#1082;&#1072;\2016-2017\&#1057;&#1090;&#1072;&#1090;&#1080;&#1089;&#1090;&#1080;&#1082;&#1072;\Analitika_po_territoriam_rassylk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Kab1302\&#1086;&#1073;&#1097;&#1072;&#1103;%20&#1087;&#1072;&#1087;&#1082;&#1072;\2016-2017\&#1057;&#1090;&#1072;&#1090;&#1080;&#1089;&#1090;&#1080;&#1082;&#1072;\Analitika_po_territoriam_rassyl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</c:spPr>
          <c:dLbls>
            <c:dLbl>
              <c:idx val="0"/>
              <c:layout>
                <c:manualLayout>
                  <c:x val="-4.1379165492761251E-2"/>
                  <c:y val="-0.30258782478772706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-0.12416863967251852"/>
                  <c:y val="-0.23509453615636006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-0.12877348685721043"/>
                  <c:y val="-0.19283796751819071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диаграммы!$B$79:$B$81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диаграммы!$C$79:$C$81</c:f>
              <c:numCache>
                <c:formatCode>General</c:formatCode>
                <c:ptCount val="3"/>
                <c:pt idx="0">
                  <c:v>967</c:v>
                </c:pt>
                <c:pt idx="1">
                  <c:v>1398</c:v>
                </c:pt>
                <c:pt idx="2">
                  <c:v>1298</c:v>
                </c:pt>
              </c:numCache>
            </c:numRef>
          </c:val>
        </c:ser>
        <c:overlap val="100"/>
        <c:axId val="155472640"/>
        <c:axId val="155474176"/>
      </c:barChart>
      <c:catAx>
        <c:axId val="155472640"/>
        <c:scaling>
          <c:orientation val="minMax"/>
        </c:scaling>
        <c:axPos val="b"/>
        <c:tickLblPos val="nextTo"/>
        <c:crossAx val="155474176"/>
        <c:crosses val="autoZero"/>
        <c:auto val="1"/>
        <c:lblAlgn val="ctr"/>
        <c:lblOffset val="100"/>
      </c:catAx>
      <c:valAx>
        <c:axId val="155474176"/>
        <c:scaling>
          <c:orientation val="minMax"/>
        </c:scaling>
        <c:axPos val="l"/>
        <c:majorGridlines/>
        <c:numFmt formatCode="General" sourceLinked="1"/>
        <c:tickLblPos val="nextTo"/>
        <c:crossAx val="1554726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8.7460629921259844E-2"/>
          <c:y val="5.1400554097404488E-2"/>
          <c:w val="0.87087270341207446"/>
          <c:h val="0.79822506561679785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диаграммы!$B$95:$B$97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диаграммы!$C$95:$C$97</c:f>
              <c:numCache>
                <c:formatCode>General</c:formatCode>
                <c:ptCount val="3"/>
                <c:pt idx="0">
                  <c:v>319</c:v>
                </c:pt>
                <c:pt idx="1">
                  <c:v>582</c:v>
                </c:pt>
                <c:pt idx="2">
                  <c:v>434</c:v>
                </c:pt>
              </c:numCache>
            </c:numRef>
          </c:val>
        </c:ser>
        <c:axId val="150312448"/>
        <c:axId val="150313984"/>
      </c:barChart>
      <c:catAx>
        <c:axId val="150312448"/>
        <c:scaling>
          <c:orientation val="minMax"/>
        </c:scaling>
        <c:axPos val="b"/>
        <c:tickLblPos val="nextTo"/>
        <c:crossAx val="150313984"/>
        <c:crosses val="autoZero"/>
        <c:auto val="1"/>
        <c:lblAlgn val="ctr"/>
        <c:lblOffset val="100"/>
      </c:catAx>
      <c:valAx>
        <c:axId val="150313984"/>
        <c:scaling>
          <c:orientation val="minMax"/>
        </c:scaling>
        <c:axPos val="l"/>
        <c:majorGridlines/>
        <c:numFmt formatCode="General" sourceLinked="1"/>
        <c:tickLblPos val="nextTo"/>
        <c:crossAx val="15031244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1.5613656663066525E-2"/>
                </c:manualLayout>
              </c:layout>
              <c:showVal val="1"/>
            </c:dLbl>
            <c:dLbl>
              <c:idx val="1"/>
              <c:layout>
                <c:manualLayout>
                  <c:x val="-1.4853969109202404E-2"/>
                  <c:y val="-4.6840969989199496E-2"/>
                </c:manualLayout>
              </c:layout>
              <c:showVal val="1"/>
            </c:dLbl>
            <c:txPr>
              <a:bodyPr/>
              <a:lstStyle/>
              <a:p>
                <a:pPr>
                  <a:defRPr sz="1500" b="1"/>
                </a:pPr>
                <a:endParaRPr lang="ru-RU"/>
              </a:p>
            </c:txPr>
            <c:showVal val="1"/>
          </c:dLbls>
          <c:cat>
            <c:strRef>
              <c:f>диаграммы!$B$85:$B$87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диаграммы!$C$85:$C$87</c:f>
              <c:numCache>
                <c:formatCode>General</c:formatCode>
                <c:ptCount val="3"/>
                <c:pt idx="0">
                  <c:v>314</c:v>
                </c:pt>
                <c:pt idx="1">
                  <c:v>237</c:v>
                </c:pt>
                <c:pt idx="2">
                  <c:v>204</c:v>
                </c:pt>
              </c:numCache>
            </c:numRef>
          </c:val>
        </c:ser>
        <c:axId val="150337792"/>
        <c:axId val="155475968"/>
      </c:barChart>
      <c:catAx>
        <c:axId val="150337792"/>
        <c:scaling>
          <c:orientation val="minMax"/>
        </c:scaling>
        <c:axPos val="b"/>
        <c:tickLblPos val="nextTo"/>
        <c:crossAx val="155475968"/>
        <c:crosses val="autoZero"/>
        <c:auto val="1"/>
        <c:lblAlgn val="ctr"/>
        <c:lblOffset val="100"/>
      </c:catAx>
      <c:valAx>
        <c:axId val="155475968"/>
        <c:scaling>
          <c:orientation val="minMax"/>
        </c:scaling>
        <c:axPos val="l"/>
        <c:majorGridlines/>
        <c:numFmt formatCode="General" sourceLinked="1"/>
        <c:tickLblPos val="nextTo"/>
        <c:crossAx val="15033779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диаграммы!$B$90:$B$92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диаграммы!$C$90:$C$92</c:f>
              <c:numCache>
                <c:formatCode>General</c:formatCode>
                <c:ptCount val="3"/>
                <c:pt idx="0">
                  <c:v>95</c:v>
                </c:pt>
                <c:pt idx="1">
                  <c:v>79</c:v>
                </c:pt>
                <c:pt idx="2">
                  <c:v>108</c:v>
                </c:pt>
              </c:numCache>
            </c:numRef>
          </c:val>
        </c:ser>
        <c:axId val="155495424"/>
        <c:axId val="155497216"/>
      </c:barChart>
      <c:catAx>
        <c:axId val="155495424"/>
        <c:scaling>
          <c:orientation val="minMax"/>
        </c:scaling>
        <c:axPos val="b"/>
        <c:tickLblPos val="nextTo"/>
        <c:crossAx val="155497216"/>
        <c:crosses val="autoZero"/>
        <c:auto val="1"/>
        <c:lblAlgn val="ctr"/>
        <c:lblOffset val="100"/>
      </c:catAx>
      <c:valAx>
        <c:axId val="155497216"/>
        <c:scaling>
          <c:orientation val="minMax"/>
        </c:scaling>
        <c:axPos val="l"/>
        <c:majorGridlines/>
        <c:numFmt formatCode="General" sourceLinked="1"/>
        <c:tickLblPos val="nextTo"/>
        <c:crossAx val="1554954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user-pc1</dc:creator>
  <cp:keywords/>
  <dc:description/>
  <cp:lastModifiedBy>1</cp:lastModifiedBy>
  <cp:revision>5</cp:revision>
  <dcterms:created xsi:type="dcterms:W3CDTF">2018-01-18T06:03:00Z</dcterms:created>
  <dcterms:modified xsi:type="dcterms:W3CDTF">2018-01-18T09:28:00Z</dcterms:modified>
</cp:coreProperties>
</file>