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132" w:rsidRDefault="005B7132" w:rsidP="005B7132">
      <w:pPr>
        <w:pStyle w:val="Aaoeeu"/>
        <w:widowControl/>
        <w:spacing w:before="80" w:after="80"/>
        <w:jc w:val="center"/>
        <w:rPr>
          <w:rFonts w:ascii="Verdana" w:hAnsi="Verdana"/>
          <w:b/>
          <w:lang w:val="it-IT"/>
        </w:rPr>
      </w:pPr>
      <w:r>
        <w:rPr>
          <w:rFonts w:ascii="Verdana" w:hAnsi="Verdana"/>
          <w:b/>
          <w:lang w:val="it-IT"/>
        </w:rPr>
        <w:t>ELEONORA CAVALIERI</w:t>
      </w:r>
    </w:p>
    <w:p w:rsidR="005B7132" w:rsidRDefault="005B7132" w:rsidP="005B7132">
      <w:pPr>
        <w:pStyle w:val="Aaoeeu"/>
        <w:widowControl/>
        <w:spacing w:before="80" w:after="80"/>
        <w:jc w:val="center"/>
        <w:rPr>
          <w:rFonts w:ascii="Verdana" w:hAnsi="Verdana"/>
          <w:b/>
          <w:lang w:val="it-IT"/>
        </w:rPr>
      </w:pPr>
    </w:p>
    <w:p w:rsidR="005B7132" w:rsidRDefault="005B7132" w:rsidP="005B7132">
      <w:pPr>
        <w:pStyle w:val="Aaoeeu"/>
        <w:widowControl/>
        <w:spacing w:before="80" w:after="80"/>
        <w:jc w:val="both"/>
        <w:rPr>
          <w:rFonts w:ascii="Verdana" w:hAnsi="Verdana"/>
          <w:b/>
          <w:lang w:val="it-IT"/>
        </w:rPr>
      </w:pPr>
    </w:p>
    <w:p w:rsidR="005B7132" w:rsidRDefault="005B7132" w:rsidP="005B7132">
      <w:pPr>
        <w:pStyle w:val="Aaoeeu"/>
        <w:widowControl/>
        <w:spacing w:before="80" w:after="80"/>
        <w:jc w:val="both"/>
        <w:rPr>
          <w:rFonts w:ascii="Verdana" w:hAnsi="Verdana"/>
          <w:b/>
          <w:lang w:val="it-IT"/>
        </w:rPr>
      </w:pPr>
      <w:r>
        <w:rPr>
          <w:rFonts w:ascii="Verdana" w:hAnsi="Verdana"/>
          <w:b/>
          <w:lang w:val="it-IT"/>
        </w:rPr>
        <w:t>Pubblicazioni</w:t>
      </w:r>
    </w:p>
    <w:p w:rsidR="005B7132" w:rsidRDefault="005B7132" w:rsidP="005B7132">
      <w:pPr>
        <w:pStyle w:val="Aaoeeu"/>
        <w:widowControl/>
        <w:numPr>
          <w:ilvl w:val="0"/>
          <w:numId w:val="1"/>
        </w:numPr>
        <w:spacing w:before="80" w:after="80"/>
        <w:jc w:val="both"/>
        <w:rPr>
          <w:rFonts w:ascii="Verdana" w:hAnsi="Verdana"/>
          <w:lang w:val="it-IT"/>
        </w:rPr>
      </w:pPr>
      <w:r w:rsidRPr="005D3D95">
        <w:rPr>
          <w:rFonts w:ascii="Verdana" w:hAnsi="Verdana"/>
          <w:bCs/>
          <w:i/>
          <w:lang w:val="it-IT"/>
        </w:rPr>
        <w:t>Interventi abusivi su suoli di proprietà pubblica</w:t>
      </w:r>
      <w:r>
        <w:rPr>
          <w:rFonts w:ascii="Verdana" w:hAnsi="Verdana"/>
          <w:bCs/>
          <w:lang w:val="it-IT"/>
        </w:rPr>
        <w:t xml:space="preserve"> (</w:t>
      </w:r>
      <w:r w:rsidRPr="005D3D95">
        <w:rPr>
          <w:rFonts w:ascii="Verdana" w:hAnsi="Verdana"/>
          <w:lang w:val="it-IT"/>
        </w:rPr>
        <w:t>Commento all’art. 35, d.p.r. n. 380/2001</w:t>
      </w:r>
      <w:r>
        <w:rPr>
          <w:rFonts w:ascii="Verdana" w:hAnsi="Verdana"/>
          <w:lang w:val="it-IT"/>
        </w:rPr>
        <w:t xml:space="preserve">), in “Codice ipertestuale dell’edilizia e dell’urbanistica” a cura di G. </w:t>
      </w:r>
      <w:proofErr w:type="spellStart"/>
      <w:r>
        <w:rPr>
          <w:rFonts w:ascii="Verdana" w:hAnsi="Verdana"/>
          <w:lang w:val="it-IT"/>
        </w:rPr>
        <w:t>Vesperini</w:t>
      </w:r>
      <w:proofErr w:type="spellEnd"/>
      <w:r>
        <w:rPr>
          <w:rFonts w:ascii="Verdana" w:hAnsi="Verdana"/>
          <w:lang w:val="it-IT"/>
        </w:rPr>
        <w:t xml:space="preserve">, S. </w:t>
      </w:r>
      <w:proofErr w:type="spellStart"/>
      <w:r>
        <w:rPr>
          <w:rFonts w:ascii="Verdana" w:hAnsi="Verdana"/>
          <w:lang w:val="it-IT"/>
        </w:rPr>
        <w:t>Battini</w:t>
      </w:r>
      <w:proofErr w:type="spellEnd"/>
      <w:r>
        <w:rPr>
          <w:rFonts w:ascii="Verdana" w:hAnsi="Verdana"/>
          <w:lang w:val="it-IT"/>
        </w:rPr>
        <w:t>, L. Casini e C. Vitale, UTET, 2013;</w:t>
      </w:r>
    </w:p>
    <w:p w:rsidR="005B7132" w:rsidRDefault="005B7132" w:rsidP="005B7132">
      <w:pPr>
        <w:pStyle w:val="Aaoeeu"/>
        <w:widowControl/>
        <w:numPr>
          <w:ilvl w:val="0"/>
          <w:numId w:val="1"/>
        </w:numPr>
        <w:spacing w:before="80" w:after="80"/>
        <w:jc w:val="both"/>
        <w:rPr>
          <w:rFonts w:ascii="Verdana" w:hAnsi="Verdana"/>
          <w:lang w:val="it-IT"/>
        </w:rPr>
      </w:pPr>
      <w:r w:rsidRPr="005D3D95">
        <w:rPr>
          <w:rFonts w:ascii="Verdana" w:hAnsi="Verdana"/>
          <w:bCs/>
          <w:i/>
          <w:lang w:val="it-IT"/>
        </w:rPr>
        <w:t>Il potere sostitutivo della Regione nella repressione degli abusi edilizi</w:t>
      </w:r>
      <w:r>
        <w:rPr>
          <w:rFonts w:ascii="Verdana" w:hAnsi="Verdana"/>
          <w:bCs/>
          <w:lang w:val="it-IT"/>
        </w:rPr>
        <w:t xml:space="preserve"> (</w:t>
      </w:r>
      <w:r w:rsidRPr="005D3D95">
        <w:rPr>
          <w:rFonts w:ascii="Verdana" w:hAnsi="Verdana"/>
          <w:lang w:val="it-IT"/>
        </w:rPr>
        <w:t xml:space="preserve">Commento all’art. </w:t>
      </w:r>
      <w:r>
        <w:rPr>
          <w:rFonts w:ascii="Verdana" w:hAnsi="Verdana"/>
          <w:lang w:val="it-IT"/>
        </w:rPr>
        <w:t>40</w:t>
      </w:r>
      <w:r w:rsidRPr="005D3D95">
        <w:rPr>
          <w:rFonts w:ascii="Verdana" w:hAnsi="Verdana"/>
          <w:lang w:val="it-IT"/>
        </w:rPr>
        <w:t>, d.p.r. n. 380/2001</w:t>
      </w:r>
      <w:r>
        <w:rPr>
          <w:rFonts w:ascii="Verdana" w:hAnsi="Verdana"/>
          <w:lang w:val="it-IT"/>
        </w:rPr>
        <w:t xml:space="preserve">), in “Codice ipertestuale dell’edilizia e dell’urbanistica” a cura di G. </w:t>
      </w:r>
      <w:proofErr w:type="spellStart"/>
      <w:r>
        <w:rPr>
          <w:rFonts w:ascii="Verdana" w:hAnsi="Verdana"/>
          <w:lang w:val="it-IT"/>
        </w:rPr>
        <w:t>Vesperini</w:t>
      </w:r>
      <w:proofErr w:type="spellEnd"/>
      <w:r>
        <w:rPr>
          <w:rFonts w:ascii="Verdana" w:hAnsi="Verdana"/>
          <w:lang w:val="it-IT"/>
        </w:rPr>
        <w:t xml:space="preserve">, S. </w:t>
      </w:r>
      <w:proofErr w:type="spellStart"/>
      <w:r>
        <w:rPr>
          <w:rFonts w:ascii="Verdana" w:hAnsi="Verdana"/>
          <w:lang w:val="it-IT"/>
        </w:rPr>
        <w:t>Battini</w:t>
      </w:r>
      <w:proofErr w:type="spellEnd"/>
      <w:r>
        <w:rPr>
          <w:rFonts w:ascii="Verdana" w:hAnsi="Verdana"/>
          <w:lang w:val="it-IT"/>
        </w:rPr>
        <w:t>, L. Casini e C. Vitale, UTET, 2013;</w:t>
      </w:r>
    </w:p>
    <w:p w:rsidR="005B7132" w:rsidRDefault="005B7132" w:rsidP="005B7132">
      <w:pPr>
        <w:pStyle w:val="Aaoeeu"/>
        <w:widowControl/>
        <w:numPr>
          <w:ilvl w:val="0"/>
          <w:numId w:val="1"/>
        </w:numPr>
        <w:spacing w:before="80" w:after="80"/>
        <w:jc w:val="both"/>
        <w:rPr>
          <w:rFonts w:ascii="Verdana" w:hAnsi="Verdana"/>
          <w:lang w:val="it-IT"/>
        </w:rPr>
      </w:pPr>
      <w:r w:rsidRPr="00913734">
        <w:rPr>
          <w:rFonts w:ascii="Verdana" w:hAnsi="Verdana"/>
          <w:i/>
          <w:lang w:val="it-IT"/>
        </w:rPr>
        <w:t>Il procedimento di demolizione delle opere abusive</w:t>
      </w:r>
      <w:r>
        <w:rPr>
          <w:rFonts w:ascii="Verdana" w:hAnsi="Verdana"/>
          <w:i/>
          <w:lang w:val="it-IT"/>
        </w:rPr>
        <w:t xml:space="preserve"> </w:t>
      </w:r>
      <w:r>
        <w:rPr>
          <w:rFonts w:ascii="Verdana" w:hAnsi="Verdana"/>
          <w:bCs/>
          <w:lang w:val="it-IT"/>
        </w:rPr>
        <w:t>(</w:t>
      </w:r>
      <w:r w:rsidRPr="005D3D95">
        <w:rPr>
          <w:rFonts w:ascii="Verdana" w:hAnsi="Verdana"/>
          <w:lang w:val="it-IT"/>
        </w:rPr>
        <w:t xml:space="preserve">Commento all’art. </w:t>
      </w:r>
      <w:r>
        <w:rPr>
          <w:rFonts w:ascii="Verdana" w:hAnsi="Verdana"/>
          <w:lang w:val="it-IT"/>
        </w:rPr>
        <w:t>41</w:t>
      </w:r>
      <w:r w:rsidRPr="005D3D95">
        <w:rPr>
          <w:rFonts w:ascii="Verdana" w:hAnsi="Verdana"/>
          <w:lang w:val="it-IT"/>
        </w:rPr>
        <w:t>, d.p.r. n. 380/2001</w:t>
      </w:r>
      <w:r>
        <w:rPr>
          <w:rFonts w:ascii="Verdana" w:hAnsi="Verdana"/>
          <w:lang w:val="it-IT"/>
        </w:rPr>
        <w:t xml:space="preserve">), in “Codice ipertestuale dell’edilizia e dell’urbanistica” a cura di G. </w:t>
      </w:r>
      <w:proofErr w:type="spellStart"/>
      <w:r>
        <w:rPr>
          <w:rFonts w:ascii="Verdana" w:hAnsi="Verdana"/>
          <w:lang w:val="it-IT"/>
        </w:rPr>
        <w:t>Vesperini</w:t>
      </w:r>
      <w:proofErr w:type="spellEnd"/>
      <w:r>
        <w:rPr>
          <w:rFonts w:ascii="Verdana" w:hAnsi="Verdana"/>
          <w:lang w:val="it-IT"/>
        </w:rPr>
        <w:t xml:space="preserve">, S. </w:t>
      </w:r>
      <w:proofErr w:type="spellStart"/>
      <w:r>
        <w:rPr>
          <w:rFonts w:ascii="Verdana" w:hAnsi="Verdana"/>
          <w:lang w:val="it-IT"/>
        </w:rPr>
        <w:t>Battini</w:t>
      </w:r>
      <w:proofErr w:type="spellEnd"/>
      <w:r>
        <w:rPr>
          <w:rFonts w:ascii="Verdana" w:hAnsi="Verdana"/>
          <w:lang w:val="it-IT"/>
        </w:rPr>
        <w:t>, L. Casini e C. Vitale, UTET, 2013;</w:t>
      </w:r>
    </w:p>
    <w:p w:rsidR="005B7132" w:rsidRDefault="005B7132" w:rsidP="005B7132">
      <w:pPr>
        <w:pStyle w:val="Aaoeeu"/>
        <w:widowControl/>
        <w:numPr>
          <w:ilvl w:val="0"/>
          <w:numId w:val="1"/>
        </w:numPr>
        <w:spacing w:before="80" w:after="80"/>
        <w:jc w:val="both"/>
        <w:rPr>
          <w:rFonts w:ascii="Verdana" w:hAnsi="Verdana"/>
          <w:lang w:val="it-IT"/>
        </w:rPr>
      </w:pPr>
      <w:r w:rsidRPr="00E54F87">
        <w:rPr>
          <w:rFonts w:ascii="Verdana" w:hAnsi="Verdana"/>
          <w:i/>
          <w:lang w:val="it-IT"/>
        </w:rPr>
        <w:t>Nullità degli atti giuridici relativi ad edifici abusivi</w:t>
      </w:r>
      <w:r>
        <w:rPr>
          <w:rFonts w:ascii="Verdana" w:hAnsi="Verdana"/>
          <w:i/>
          <w:lang w:val="it-IT"/>
        </w:rPr>
        <w:t xml:space="preserve"> </w:t>
      </w:r>
      <w:r>
        <w:rPr>
          <w:rFonts w:ascii="Verdana" w:hAnsi="Verdana"/>
          <w:bCs/>
          <w:lang w:val="it-IT"/>
        </w:rPr>
        <w:t>(</w:t>
      </w:r>
      <w:r w:rsidRPr="005D3D95">
        <w:rPr>
          <w:rFonts w:ascii="Verdana" w:hAnsi="Verdana"/>
          <w:lang w:val="it-IT"/>
        </w:rPr>
        <w:t xml:space="preserve">Commento all’art. </w:t>
      </w:r>
      <w:r>
        <w:rPr>
          <w:rFonts w:ascii="Verdana" w:hAnsi="Verdana"/>
          <w:lang w:val="it-IT"/>
        </w:rPr>
        <w:t>46</w:t>
      </w:r>
      <w:r w:rsidRPr="005D3D95">
        <w:rPr>
          <w:rFonts w:ascii="Verdana" w:hAnsi="Verdana"/>
          <w:lang w:val="it-IT"/>
        </w:rPr>
        <w:t>, d.p.r. n. 380/2001</w:t>
      </w:r>
      <w:r>
        <w:rPr>
          <w:rFonts w:ascii="Verdana" w:hAnsi="Verdana"/>
          <w:lang w:val="it-IT"/>
        </w:rPr>
        <w:t xml:space="preserve">), in “Codice ipertestuale dell’edilizia e dell’urbanistica” a cura di G. </w:t>
      </w:r>
      <w:proofErr w:type="spellStart"/>
      <w:r>
        <w:rPr>
          <w:rFonts w:ascii="Verdana" w:hAnsi="Verdana"/>
          <w:lang w:val="it-IT"/>
        </w:rPr>
        <w:t>Vesperini</w:t>
      </w:r>
      <w:proofErr w:type="spellEnd"/>
      <w:r>
        <w:rPr>
          <w:rFonts w:ascii="Verdana" w:hAnsi="Verdana"/>
          <w:lang w:val="it-IT"/>
        </w:rPr>
        <w:t xml:space="preserve">, S. </w:t>
      </w:r>
      <w:proofErr w:type="spellStart"/>
      <w:r>
        <w:rPr>
          <w:rFonts w:ascii="Verdana" w:hAnsi="Verdana"/>
          <w:lang w:val="it-IT"/>
        </w:rPr>
        <w:t>Battini</w:t>
      </w:r>
      <w:proofErr w:type="spellEnd"/>
      <w:r>
        <w:rPr>
          <w:rFonts w:ascii="Verdana" w:hAnsi="Verdana"/>
          <w:lang w:val="it-IT"/>
        </w:rPr>
        <w:t>, L. Casini e C. Vitale, UTET, 2013;</w:t>
      </w:r>
    </w:p>
    <w:p w:rsidR="005B7132" w:rsidRPr="00777437" w:rsidRDefault="005B7132" w:rsidP="005B7132">
      <w:pPr>
        <w:pStyle w:val="Aaoeeu"/>
        <w:widowControl/>
        <w:numPr>
          <w:ilvl w:val="0"/>
          <w:numId w:val="1"/>
        </w:numPr>
        <w:spacing w:before="80" w:after="80"/>
        <w:jc w:val="both"/>
        <w:rPr>
          <w:rFonts w:ascii="Verdana" w:hAnsi="Verdana"/>
          <w:lang w:val="it-IT"/>
        </w:rPr>
      </w:pPr>
      <w:r w:rsidRPr="00777437">
        <w:rPr>
          <w:rFonts w:ascii="Verdana" w:hAnsi="Verdana"/>
          <w:i/>
          <w:lang w:val="it-IT"/>
        </w:rPr>
        <w:t>Le sanzioni a carico dei notai</w:t>
      </w:r>
      <w:r>
        <w:rPr>
          <w:rFonts w:ascii="Verdana" w:hAnsi="Verdana"/>
          <w:i/>
          <w:lang w:val="it-IT"/>
        </w:rPr>
        <w:t xml:space="preserve"> </w:t>
      </w:r>
      <w:r>
        <w:rPr>
          <w:rFonts w:ascii="Verdana" w:hAnsi="Verdana"/>
          <w:bCs/>
          <w:lang w:val="it-IT"/>
        </w:rPr>
        <w:t>(</w:t>
      </w:r>
      <w:r w:rsidRPr="005D3D95">
        <w:rPr>
          <w:rFonts w:ascii="Verdana" w:hAnsi="Verdana"/>
          <w:lang w:val="it-IT"/>
        </w:rPr>
        <w:t xml:space="preserve">Commento all’art. </w:t>
      </w:r>
      <w:r>
        <w:rPr>
          <w:rFonts w:ascii="Verdana" w:hAnsi="Verdana"/>
          <w:lang w:val="it-IT"/>
        </w:rPr>
        <w:t>47</w:t>
      </w:r>
      <w:r w:rsidRPr="005D3D95">
        <w:rPr>
          <w:rFonts w:ascii="Verdana" w:hAnsi="Verdana"/>
          <w:lang w:val="it-IT"/>
        </w:rPr>
        <w:t>, d.p.r. n. 380/2001</w:t>
      </w:r>
      <w:r>
        <w:rPr>
          <w:rFonts w:ascii="Verdana" w:hAnsi="Verdana"/>
          <w:lang w:val="it-IT"/>
        </w:rPr>
        <w:t xml:space="preserve">), in “Codice ipertestuale dell’edilizia e dell’urbanistica” a cura di G. </w:t>
      </w:r>
      <w:proofErr w:type="spellStart"/>
      <w:r>
        <w:rPr>
          <w:rFonts w:ascii="Verdana" w:hAnsi="Verdana"/>
          <w:lang w:val="it-IT"/>
        </w:rPr>
        <w:t>Vesperini</w:t>
      </w:r>
      <w:proofErr w:type="spellEnd"/>
      <w:r>
        <w:rPr>
          <w:rFonts w:ascii="Verdana" w:hAnsi="Verdana"/>
          <w:lang w:val="it-IT"/>
        </w:rPr>
        <w:t xml:space="preserve">, S. </w:t>
      </w:r>
      <w:proofErr w:type="spellStart"/>
      <w:r>
        <w:rPr>
          <w:rFonts w:ascii="Verdana" w:hAnsi="Verdana"/>
          <w:lang w:val="it-IT"/>
        </w:rPr>
        <w:t>Battini</w:t>
      </w:r>
      <w:proofErr w:type="spellEnd"/>
      <w:r>
        <w:rPr>
          <w:rFonts w:ascii="Verdana" w:hAnsi="Verdana"/>
          <w:lang w:val="it-IT"/>
        </w:rPr>
        <w:t>, L. Casini e C. Vitale, UTET, 2013;</w:t>
      </w:r>
    </w:p>
    <w:p w:rsidR="005B7132" w:rsidRPr="00DF561E" w:rsidRDefault="005B7132" w:rsidP="005B7132">
      <w:pPr>
        <w:pStyle w:val="Aaoeeu"/>
        <w:widowControl/>
        <w:numPr>
          <w:ilvl w:val="0"/>
          <w:numId w:val="1"/>
        </w:numPr>
        <w:spacing w:before="80" w:after="80"/>
        <w:jc w:val="both"/>
        <w:rPr>
          <w:rFonts w:ascii="Verdana" w:hAnsi="Verdana"/>
          <w:lang w:val="it-IT"/>
        </w:rPr>
      </w:pPr>
      <w:r>
        <w:rPr>
          <w:rFonts w:ascii="Verdana" w:hAnsi="Verdana"/>
          <w:i/>
          <w:lang w:val="it-IT"/>
        </w:rPr>
        <w:t>Il Decreto “Crescita”</w:t>
      </w:r>
      <w:r>
        <w:rPr>
          <w:rFonts w:ascii="Verdana" w:hAnsi="Verdana"/>
          <w:lang w:val="it-IT"/>
        </w:rPr>
        <w:t xml:space="preserve"> (commento alla normativa, con particolare riferimento alle semplificazioni in materia edilizia contenute nel d.l. n. 83/2012), in </w:t>
      </w:r>
      <w:r>
        <w:rPr>
          <w:rFonts w:ascii="Verdana" w:hAnsi="Verdana"/>
          <w:i/>
          <w:lang w:val="it-IT"/>
        </w:rPr>
        <w:t>Giornale di diritto amministrativo</w:t>
      </w:r>
      <w:r>
        <w:rPr>
          <w:rFonts w:ascii="Verdana" w:hAnsi="Verdana"/>
          <w:lang w:val="it-IT"/>
        </w:rPr>
        <w:t>, n. 11/2012, p. 1041 ss.;</w:t>
      </w:r>
    </w:p>
    <w:p w:rsidR="005B7132" w:rsidRPr="005A3097" w:rsidRDefault="005B7132" w:rsidP="005B7132">
      <w:pPr>
        <w:pStyle w:val="Aaoeeu"/>
        <w:widowControl/>
        <w:numPr>
          <w:ilvl w:val="0"/>
          <w:numId w:val="1"/>
        </w:numPr>
        <w:spacing w:before="80" w:after="80"/>
        <w:jc w:val="both"/>
        <w:rPr>
          <w:rFonts w:ascii="Verdana" w:hAnsi="Verdana"/>
          <w:lang w:val="it-IT"/>
        </w:rPr>
      </w:pPr>
      <w:r w:rsidRPr="005A3097">
        <w:rPr>
          <w:rFonts w:ascii="Verdana" w:hAnsi="Verdana"/>
          <w:i/>
          <w:lang w:val="it-IT"/>
        </w:rPr>
        <w:t xml:space="preserve">The </w:t>
      </w:r>
      <w:proofErr w:type="spellStart"/>
      <w:r w:rsidRPr="005A3097">
        <w:rPr>
          <w:rFonts w:ascii="Verdana" w:hAnsi="Verdana"/>
          <w:i/>
          <w:lang w:val="it-IT"/>
        </w:rPr>
        <w:t>Role</w:t>
      </w:r>
      <w:proofErr w:type="spellEnd"/>
      <w:r w:rsidRPr="005A3097">
        <w:rPr>
          <w:rFonts w:ascii="Verdana" w:hAnsi="Verdana"/>
          <w:i/>
          <w:lang w:val="it-IT"/>
        </w:rPr>
        <w:t xml:space="preserve"> </w:t>
      </w:r>
      <w:proofErr w:type="spellStart"/>
      <w:r w:rsidRPr="005A3097">
        <w:rPr>
          <w:rFonts w:ascii="Verdana" w:hAnsi="Verdana"/>
          <w:i/>
          <w:lang w:val="it-IT"/>
        </w:rPr>
        <w:t>of</w:t>
      </w:r>
      <w:proofErr w:type="spellEnd"/>
      <w:r w:rsidRPr="005A3097">
        <w:rPr>
          <w:rFonts w:ascii="Verdana" w:hAnsi="Verdana"/>
          <w:i/>
          <w:lang w:val="it-IT"/>
        </w:rPr>
        <w:t xml:space="preserve"> UNESCO </w:t>
      </w:r>
      <w:proofErr w:type="spellStart"/>
      <w:r w:rsidRPr="005A3097">
        <w:rPr>
          <w:rFonts w:ascii="Verdana" w:hAnsi="Verdana"/>
          <w:i/>
          <w:lang w:val="it-IT"/>
        </w:rPr>
        <w:t>Advisory</w:t>
      </w:r>
      <w:proofErr w:type="spellEnd"/>
      <w:r w:rsidRPr="005A3097">
        <w:rPr>
          <w:rFonts w:ascii="Verdana" w:hAnsi="Verdana"/>
          <w:i/>
          <w:lang w:val="it-IT"/>
        </w:rPr>
        <w:t xml:space="preserve"> </w:t>
      </w:r>
      <w:proofErr w:type="spellStart"/>
      <w:r w:rsidRPr="005A3097">
        <w:rPr>
          <w:rFonts w:ascii="Verdana" w:hAnsi="Verdana"/>
          <w:i/>
          <w:lang w:val="it-IT"/>
        </w:rPr>
        <w:t>Bodies</w:t>
      </w:r>
      <w:proofErr w:type="spellEnd"/>
      <w:r w:rsidRPr="005A3097">
        <w:rPr>
          <w:rFonts w:ascii="Verdana" w:hAnsi="Verdana"/>
          <w:i/>
          <w:lang w:val="it-IT"/>
        </w:rPr>
        <w:t xml:space="preserve"> in the World Heritage Convention</w:t>
      </w:r>
      <w:r w:rsidRPr="005A3097">
        <w:rPr>
          <w:rFonts w:ascii="Verdana" w:hAnsi="Verdana"/>
          <w:lang w:val="it-IT"/>
        </w:rPr>
        <w:t xml:space="preserve">, in </w:t>
      </w:r>
      <w:r w:rsidRPr="005A3097">
        <w:rPr>
          <w:rFonts w:ascii="Verdana" w:hAnsi="Verdana"/>
          <w:i/>
          <w:lang w:val="it-IT"/>
        </w:rPr>
        <w:t xml:space="preserve">Global </w:t>
      </w:r>
      <w:proofErr w:type="spellStart"/>
      <w:r w:rsidRPr="005A3097">
        <w:rPr>
          <w:rFonts w:ascii="Verdana" w:hAnsi="Verdana"/>
          <w:i/>
          <w:lang w:val="it-IT"/>
        </w:rPr>
        <w:t>Administrative</w:t>
      </w:r>
      <w:proofErr w:type="spellEnd"/>
      <w:r w:rsidRPr="005A3097">
        <w:rPr>
          <w:rFonts w:ascii="Verdana" w:hAnsi="Verdana"/>
          <w:i/>
          <w:lang w:val="it-IT"/>
        </w:rPr>
        <w:t xml:space="preserve"> </w:t>
      </w:r>
      <w:proofErr w:type="spellStart"/>
      <w:r w:rsidRPr="005A3097">
        <w:rPr>
          <w:rFonts w:ascii="Verdana" w:hAnsi="Verdana"/>
          <w:i/>
          <w:lang w:val="it-IT"/>
        </w:rPr>
        <w:t>Law</w:t>
      </w:r>
      <w:proofErr w:type="spellEnd"/>
      <w:r w:rsidRPr="005A3097">
        <w:rPr>
          <w:rFonts w:ascii="Verdana" w:hAnsi="Verdana"/>
          <w:i/>
          <w:lang w:val="it-IT"/>
        </w:rPr>
        <w:t xml:space="preserve">: The </w:t>
      </w:r>
      <w:proofErr w:type="spellStart"/>
      <w:r w:rsidRPr="005A3097">
        <w:rPr>
          <w:rFonts w:ascii="Verdana" w:hAnsi="Verdana"/>
          <w:i/>
          <w:lang w:val="it-IT"/>
        </w:rPr>
        <w:t>Casebook</w:t>
      </w:r>
      <w:proofErr w:type="spellEnd"/>
      <w:r w:rsidRPr="005A3097">
        <w:rPr>
          <w:rFonts w:ascii="Verdana" w:hAnsi="Verdana"/>
          <w:lang w:val="it-IT"/>
        </w:rPr>
        <w:t xml:space="preserve">, 3 ed., a cura di S. </w:t>
      </w:r>
      <w:proofErr w:type="spellStart"/>
      <w:r w:rsidRPr="005A3097">
        <w:rPr>
          <w:rFonts w:ascii="Verdana" w:hAnsi="Verdana"/>
          <w:lang w:val="it-IT"/>
        </w:rPr>
        <w:t>Cassese</w:t>
      </w:r>
      <w:proofErr w:type="spellEnd"/>
      <w:r w:rsidRPr="005A3097">
        <w:rPr>
          <w:rFonts w:ascii="Verdana" w:hAnsi="Verdana"/>
          <w:lang w:val="it-IT"/>
        </w:rPr>
        <w:t xml:space="preserve">, L. Casini, B. </w:t>
      </w:r>
      <w:proofErr w:type="spellStart"/>
      <w:r w:rsidRPr="005A3097">
        <w:rPr>
          <w:rFonts w:ascii="Verdana" w:hAnsi="Verdana"/>
          <w:lang w:val="it-IT"/>
        </w:rPr>
        <w:t>Carotti</w:t>
      </w:r>
      <w:proofErr w:type="spellEnd"/>
      <w:r w:rsidRPr="005A3097">
        <w:rPr>
          <w:rFonts w:ascii="Verdana" w:hAnsi="Verdana"/>
          <w:lang w:val="it-IT"/>
        </w:rPr>
        <w:t xml:space="preserve">, E. Cavalieri, E. </w:t>
      </w:r>
      <w:proofErr w:type="spellStart"/>
      <w:r w:rsidRPr="005A3097">
        <w:rPr>
          <w:rFonts w:ascii="Verdana" w:hAnsi="Verdana"/>
          <w:lang w:val="it-IT"/>
        </w:rPr>
        <w:t>MacDonald</w:t>
      </w:r>
      <w:proofErr w:type="spellEnd"/>
      <w:r w:rsidRPr="005A3097">
        <w:rPr>
          <w:rFonts w:ascii="Verdana" w:hAnsi="Verdana"/>
          <w:lang w:val="it-IT"/>
        </w:rPr>
        <w:t xml:space="preserve">, 2012; </w:t>
      </w:r>
    </w:p>
    <w:p w:rsidR="005B7132" w:rsidRPr="005A3097" w:rsidRDefault="005B7132" w:rsidP="005B7132">
      <w:pPr>
        <w:pStyle w:val="Aaoeeu"/>
        <w:widowControl/>
        <w:numPr>
          <w:ilvl w:val="0"/>
          <w:numId w:val="1"/>
        </w:numPr>
        <w:spacing w:before="80" w:after="80"/>
        <w:jc w:val="both"/>
        <w:rPr>
          <w:rFonts w:ascii="Garamond" w:hAnsi="Garamond"/>
          <w:lang w:val="it-IT"/>
        </w:rPr>
      </w:pPr>
      <w:proofErr w:type="spellStart"/>
      <w:r w:rsidRPr="005A3097">
        <w:rPr>
          <w:rFonts w:ascii="Verdana" w:hAnsi="Verdana"/>
          <w:i/>
          <w:lang w:val="it-IT"/>
        </w:rPr>
        <w:t>Regulating</w:t>
      </w:r>
      <w:proofErr w:type="spellEnd"/>
      <w:r w:rsidRPr="005A3097">
        <w:rPr>
          <w:rFonts w:ascii="Verdana" w:hAnsi="Verdana"/>
          <w:i/>
          <w:lang w:val="it-IT"/>
        </w:rPr>
        <w:t xml:space="preserve"> the </w:t>
      </w:r>
      <w:proofErr w:type="spellStart"/>
      <w:r w:rsidRPr="005A3097">
        <w:rPr>
          <w:rFonts w:ascii="Verdana" w:hAnsi="Verdana"/>
          <w:i/>
          <w:lang w:val="it-IT"/>
        </w:rPr>
        <w:t>Raters</w:t>
      </w:r>
      <w:proofErr w:type="spellEnd"/>
      <w:r w:rsidRPr="005A3097">
        <w:rPr>
          <w:rFonts w:ascii="Verdana" w:hAnsi="Verdana"/>
          <w:i/>
          <w:lang w:val="it-IT"/>
        </w:rPr>
        <w:t xml:space="preserve">: </w:t>
      </w:r>
      <w:proofErr w:type="spellStart"/>
      <w:r w:rsidRPr="005A3097">
        <w:rPr>
          <w:rFonts w:ascii="Verdana" w:hAnsi="Verdana"/>
          <w:i/>
          <w:lang w:val="it-IT"/>
        </w:rPr>
        <w:t>Toward</w:t>
      </w:r>
      <w:proofErr w:type="spellEnd"/>
      <w:r w:rsidRPr="005A3097">
        <w:rPr>
          <w:rFonts w:ascii="Verdana" w:hAnsi="Verdana"/>
          <w:i/>
          <w:lang w:val="it-IT"/>
        </w:rPr>
        <w:t xml:space="preserve"> </w:t>
      </w:r>
      <w:proofErr w:type="spellStart"/>
      <w:r w:rsidRPr="005A3097">
        <w:rPr>
          <w:rFonts w:ascii="Verdana" w:hAnsi="Verdana"/>
          <w:i/>
          <w:lang w:val="it-IT"/>
        </w:rPr>
        <w:t>Convergence</w:t>
      </w:r>
      <w:proofErr w:type="spellEnd"/>
      <w:r w:rsidRPr="005A3097">
        <w:rPr>
          <w:rFonts w:ascii="Verdana" w:hAnsi="Verdana"/>
          <w:i/>
          <w:lang w:val="it-IT"/>
        </w:rPr>
        <w:t xml:space="preserve"> in the Discipline </w:t>
      </w:r>
      <w:proofErr w:type="spellStart"/>
      <w:r w:rsidRPr="005A3097">
        <w:rPr>
          <w:rFonts w:ascii="Verdana" w:hAnsi="Verdana"/>
          <w:i/>
          <w:lang w:val="it-IT"/>
        </w:rPr>
        <w:t>of</w:t>
      </w:r>
      <w:proofErr w:type="spellEnd"/>
      <w:r w:rsidRPr="005A3097">
        <w:rPr>
          <w:rFonts w:ascii="Verdana" w:hAnsi="Verdana"/>
          <w:i/>
          <w:lang w:val="it-IT"/>
        </w:rPr>
        <w:t xml:space="preserve"> </w:t>
      </w:r>
      <w:proofErr w:type="spellStart"/>
      <w:r w:rsidRPr="005A3097">
        <w:rPr>
          <w:rFonts w:ascii="Verdana" w:hAnsi="Verdana"/>
          <w:i/>
          <w:lang w:val="it-IT"/>
        </w:rPr>
        <w:t>Credit</w:t>
      </w:r>
      <w:proofErr w:type="spellEnd"/>
      <w:r w:rsidRPr="005A3097">
        <w:rPr>
          <w:rFonts w:ascii="Verdana" w:hAnsi="Verdana"/>
          <w:i/>
          <w:lang w:val="it-IT"/>
        </w:rPr>
        <w:t xml:space="preserve"> </w:t>
      </w:r>
      <w:proofErr w:type="spellStart"/>
      <w:r w:rsidRPr="005A3097">
        <w:rPr>
          <w:rFonts w:ascii="Verdana" w:hAnsi="Verdana"/>
          <w:i/>
          <w:lang w:val="it-IT"/>
        </w:rPr>
        <w:t>Ratings</w:t>
      </w:r>
      <w:proofErr w:type="spellEnd"/>
      <w:r w:rsidRPr="005A3097">
        <w:rPr>
          <w:rFonts w:ascii="Verdana" w:hAnsi="Verdana"/>
          <w:lang w:val="it-IT"/>
        </w:rPr>
        <w:t xml:space="preserve">, in </w:t>
      </w:r>
      <w:r w:rsidRPr="005A3097">
        <w:rPr>
          <w:rFonts w:ascii="Verdana" w:hAnsi="Verdana"/>
          <w:i/>
          <w:lang w:val="it-IT"/>
        </w:rPr>
        <w:t xml:space="preserve">Global </w:t>
      </w:r>
      <w:proofErr w:type="spellStart"/>
      <w:r w:rsidRPr="005A3097">
        <w:rPr>
          <w:rFonts w:ascii="Verdana" w:hAnsi="Verdana"/>
          <w:i/>
          <w:lang w:val="it-IT"/>
        </w:rPr>
        <w:t>Administrative</w:t>
      </w:r>
      <w:proofErr w:type="spellEnd"/>
      <w:r w:rsidRPr="005A3097">
        <w:rPr>
          <w:rFonts w:ascii="Verdana" w:hAnsi="Verdana"/>
          <w:i/>
          <w:lang w:val="it-IT"/>
        </w:rPr>
        <w:t xml:space="preserve"> </w:t>
      </w:r>
      <w:proofErr w:type="spellStart"/>
      <w:r w:rsidRPr="005A3097">
        <w:rPr>
          <w:rFonts w:ascii="Verdana" w:hAnsi="Verdana"/>
          <w:i/>
          <w:lang w:val="it-IT"/>
        </w:rPr>
        <w:t>Law</w:t>
      </w:r>
      <w:proofErr w:type="spellEnd"/>
      <w:r w:rsidRPr="005A3097">
        <w:rPr>
          <w:rFonts w:ascii="Verdana" w:hAnsi="Verdana"/>
          <w:i/>
          <w:lang w:val="it-IT"/>
        </w:rPr>
        <w:t xml:space="preserve">: The </w:t>
      </w:r>
      <w:proofErr w:type="spellStart"/>
      <w:r w:rsidRPr="005A3097">
        <w:rPr>
          <w:rFonts w:ascii="Verdana" w:hAnsi="Verdana"/>
          <w:i/>
          <w:lang w:val="it-IT"/>
        </w:rPr>
        <w:t>Casebook</w:t>
      </w:r>
      <w:proofErr w:type="spellEnd"/>
      <w:r w:rsidRPr="005A3097">
        <w:rPr>
          <w:rFonts w:ascii="Verdana" w:hAnsi="Verdana"/>
          <w:lang w:val="it-IT"/>
        </w:rPr>
        <w:t xml:space="preserve">, 3 ed., a cura di S. </w:t>
      </w:r>
      <w:proofErr w:type="spellStart"/>
      <w:r w:rsidRPr="005A3097">
        <w:rPr>
          <w:rFonts w:ascii="Verdana" w:hAnsi="Verdana"/>
          <w:lang w:val="it-IT"/>
        </w:rPr>
        <w:t>Cassese</w:t>
      </w:r>
      <w:proofErr w:type="spellEnd"/>
      <w:r w:rsidRPr="005A3097">
        <w:rPr>
          <w:rFonts w:ascii="Verdana" w:hAnsi="Verdana"/>
          <w:lang w:val="it-IT"/>
        </w:rPr>
        <w:t xml:space="preserve">, L. Casini, B. </w:t>
      </w:r>
      <w:proofErr w:type="spellStart"/>
      <w:r w:rsidRPr="005A3097">
        <w:rPr>
          <w:rFonts w:ascii="Verdana" w:hAnsi="Verdana"/>
          <w:lang w:val="it-IT"/>
        </w:rPr>
        <w:t>Carotti</w:t>
      </w:r>
      <w:proofErr w:type="spellEnd"/>
      <w:r w:rsidRPr="005A3097">
        <w:rPr>
          <w:rFonts w:ascii="Verdana" w:hAnsi="Verdana"/>
          <w:lang w:val="it-IT"/>
        </w:rPr>
        <w:t xml:space="preserve">, E. Cavalieri, E. </w:t>
      </w:r>
      <w:proofErr w:type="spellStart"/>
      <w:r w:rsidRPr="005A3097">
        <w:rPr>
          <w:rFonts w:ascii="Verdana" w:hAnsi="Verdana"/>
          <w:lang w:val="it-IT"/>
        </w:rPr>
        <w:t>MacDonald</w:t>
      </w:r>
      <w:proofErr w:type="spellEnd"/>
      <w:r w:rsidRPr="005A3097">
        <w:rPr>
          <w:rFonts w:ascii="Verdana" w:hAnsi="Verdana"/>
          <w:lang w:val="it-IT"/>
        </w:rPr>
        <w:t>, 2012;</w:t>
      </w:r>
    </w:p>
    <w:p w:rsidR="005B7132" w:rsidRPr="00006F21" w:rsidRDefault="005B7132" w:rsidP="005B7132">
      <w:pPr>
        <w:pStyle w:val="Aaoeeu"/>
        <w:widowControl/>
        <w:numPr>
          <w:ilvl w:val="0"/>
          <w:numId w:val="1"/>
        </w:numPr>
        <w:spacing w:before="80" w:after="80"/>
        <w:jc w:val="both"/>
        <w:rPr>
          <w:rFonts w:ascii="Verdana" w:hAnsi="Verdana"/>
          <w:lang w:val="it-IT"/>
        </w:rPr>
      </w:pPr>
      <w:r w:rsidRPr="00646659">
        <w:rPr>
          <w:rFonts w:ascii="Verdana" w:hAnsi="Verdana"/>
          <w:i/>
          <w:lang w:val="it-IT"/>
        </w:rPr>
        <w:t xml:space="preserve">“Le istituzioni della globalizzazione” </w:t>
      </w:r>
      <w:r w:rsidRPr="00646659">
        <w:rPr>
          <w:rFonts w:ascii="Verdana" w:hAnsi="Verdana"/>
          <w:lang w:val="it-IT"/>
        </w:rPr>
        <w:t xml:space="preserve">(limitatamente ai par. 2,3,4 e 5) in </w:t>
      </w:r>
      <w:r w:rsidRPr="00646659">
        <w:rPr>
          <w:rFonts w:ascii="Verdana" w:hAnsi="Verdana"/>
          <w:i/>
          <w:lang w:val="it-IT"/>
        </w:rPr>
        <w:t>“Uscire dalla crisi. Politiche pubbliche</w:t>
      </w:r>
      <w:r>
        <w:rPr>
          <w:rFonts w:ascii="Verdana" w:hAnsi="Verdana"/>
          <w:i/>
          <w:lang w:val="it-IT"/>
        </w:rPr>
        <w:t xml:space="preserve"> e trasformazioni istituzionali</w:t>
      </w:r>
      <w:r w:rsidRPr="00646659">
        <w:rPr>
          <w:rFonts w:ascii="Verdana" w:hAnsi="Verdana"/>
          <w:lang w:val="it-IT"/>
        </w:rPr>
        <w:t>”, a</w:t>
      </w:r>
      <w:r>
        <w:rPr>
          <w:rFonts w:ascii="Verdana" w:hAnsi="Verdana"/>
          <w:lang w:val="it-IT"/>
        </w:rPr>
        <w:t xml:space="preserve"> cura di G. Napolitano, Bologna, Il Mulino, 2012, p. 428-455;</w:t>
      </w:r>
    </w:p>
    <w:p w:rsidR="005B7132" w:rsidRPr="001B4899" w:rsidRDefault="005B7132" w:rsidP="005B7132">
      <w:pPr>
        <w:pStyle w:val="Aaoeeu"/>
        <w:widowControl/>
        <w:numPr>
          <w:ilvl w:val="0"/>
          <w:numId w:val="1"/>
        </w:numPr>
        <w:spacing w:before="80" w:after="80"/>
        <w:rPr>
          <w:rFonts w:ascii="Verdana" w:hAnsi="Verdana"/>
          <w:lang w:val="it-IT"/>
        </w:rPr>
      </w:pPr>
      <w:hyperlink r:id="rId5" w:history="1">
        <w:r w:rsidRPr="00060C74">
          <w:rPr>
            <w:rStyle w:val="Collegamentoipertestuale"/>
            <w:rFonts w:ascii="Verdana" w:hAnsi="Verdana"/>
            <w:i/>
            <w:lang w:val="it-IT"/>
          </w:rPr>
          <w:t>Processi di semplificazione normativa. Report Annuale 2012</w:t>
        </w:r>
      </w:hyperlink>
      <w:r w:rsidRPr="001B4899">
        <w:rPr>
          <w:rFonts w:ascii="Verdana" w:hAnsi="Verdana"/>
          <w:lang w:val="it-IT"/>
        </w:rPr>
        <w:t xml:space="preserve">, con L. Torchia, febbraio 2012, </w:t>
      </w:r>
      <w:r>
        <w:rPr>
          <w:rFonts w:ascii="Verdana" w:hAnsi="Verdana"/>
          <w:lang w:val="it-IT"/>
        </w:rPr>
        <w:t xml:space="preserve">sul sito </w:t>
      </w:r>
      <w:hyperlink r:id="rId6" w:history="1">
        <w:r w:rsidRPr="00060C74">
          <w:rPr>
            <w:rStyle w:val="Collegamentoipertestuale"/>
            <w:rFonts w:ascii="Verdana" w:hAnsi="Verdana"/>
            <w:lang w:val="it-IT"/>
          </w:rPr>
          <w:t>www.iuspublicum.com</w:t>
        </w:r>
      </w:hyperlink>
      <w:r w:rsidRPr="00060C74">
        <w:rPr>
          <w:rFonts w:ascii="Verdana" w:hAnsi="Verdana"/>
          <w:lang w:val="it-IT"/>
        </w:rPr>
        <w:t>.</w:t>
      </w:r>
      <w:r>
        <w:rPr>
          <w:rFonts w:ascii="Verdana" w:hAnsi="Verdana"/>
          <w:lang w:val="it-IT"/>
        </w:rPr>
        <w:t xml:space="preserve"> </w:t>
      </w:r>
    </w:p>
    <w:p w:rsidR="005B7132" w:rsidRPr="008F0A29" w:rsidRDefault="005B7132" w:rsidP="005B7132">
      <w:pPr>
        <w:pStyle w:val="Aaoeeu"/>
        <w:widowControl/>
        <w:numPr>
          <w:ilvl w:val="0"/>
          <w:numId w:val="1"/>
        </w:numPr>
        <w:spacing w:before="80" w:after="80"/>
        <w:jc w:val="both"/>
        <w:rPr>
          <w:rFonts w:ascii="Verdana" w:hAnsi="Verdana"/>
          <w:lang w:val="it-IT"/>
        </w:rPr>
      </w:pPr>
      <w:r w:rsidRPr="008F0A29">
        <w:rPr>
          <w:rFonts w:ascii="Verdana" w:hAnsi="Verdana"/>
          <w:i/>
          <w:lang w:val="it-IT"/>
        </w:rPr>
        <w:t>Il nuovo regolamento di organizzazione del Dipartimento della funzione pubblica</w:t>
      </w:r>
      <w:r>
        <w:rPr>
          <w:rFonts w:ascii="Verdana" w:hAnsi="Verdana"/>
          <w:lang w:val="it-IT"/>
        </w:rPr>
        <w:t>, Giornale di Diritto Amministrativo, n. 2/2012, p. 145</w:t>
      </w:r>
    </w:p>
    <w:p w:rsidR="005B7132" w:rsidRPr="0012385C" w:rsidRDefault="005B7132" w:rsidP="005B7132">
      <w:pPr>
        <w:pStyle w:val="Aaoeeu"/>
        <w:widowControl/>
        <w:numPr>
          <w:ilvl w:val="0"/>
          <w:numId w:val="1"/>
        </w:numPr>
        <w:spacing w:before="80" w:after="80"/>
        <w:jc w:val="both"/>
        <w:rPr>
          <w:rFonts w:ascii="Verdana" w:hAnsi="Verdana"/>
          <w:lang w:val="it-IT"/>
        </w:rPr>
      </w:pPr>
      <w:r>
        <w:rPr>
          <w:rFonts w:ascii="Verdana" w:hAnsi="Verdana"/>
          <w:i/>
          <w:lang w:val="it-IT"/>
        </w:rPr>
        <w:t>La tutela dei beni culturali. Una proposta di Giovanni Urbani</w:t>
      </w:r>
      <w:r>
        <w:rPr>
          <w:rFonts w:ascii="Verdana" w:hAnsi="Verdana"/>
          <w:lang w:val="it-IT"/>
        </w:rPr>
        <w:t>, in Rivista Trimestrale di Diritto Pubblico, n. 2, 2011, pp. 473-494;</w:t>
      </w:r>
    </w:p>
    <w:p w:rsidR="005B7132" w:rsidRPr="000C6F48" w:rsidRDefault="005B7132" w:rsidP="005B7132">
      <w:pPr>
        <w:pStyle w:val="Aaoeeu"/>
        <w:widowControl/>
        <w:numPr>
          <w:ilvl w:val="0"/>
          <w:numId w:val="1"/>
        </w:numPr>
        <w:spacing w:before="80" w:after="80"/>
        <w:jc w:val="both"/>
        <w:rPr>
          <w:rFonts w:ascii="Verdana" w:hAnsi="Verdana"/>
          <w:lang w:val="it-IT"/>
        </w:rPr>
      </w:pPr>
      <w:r w:rsidRPr="000C6F48">
        <w:rPr>
          <w:rFonts w:ascii="Verdana" w:hAnsi="Verdana"/>
          <w:i/>
          <w:lang w:val="it-IT"/>
        </w:rPr>
        <w:t>I modelli gestionali: il management museale</w:t>
      </w:r>
      <w:r w:rsidRPr="000C6F48">
        <w:rPr>
          <w:rFonts w:ascii="Verdana" w:hAnsi="Verdana"/>
          <w:lang w:val="it-IT"/>
        </w:rPr>
        <w:t xml:space="preserve">, in </w:t>
      </w:r>
      <w:r w:rsidRPr="000C6F48">
        <w:rPr>
          <w:rFonts w:ascii="Verdana" w:hAnsi="Verdana"/>
          <w:i/>
          <w:lang w:val="it-IT"/>
        </w:rPr>
        <w:t>I beni culturali nella globalizzazione</w:t>
      </w:r>
      <w:r w:rsidRPr="000C6F48">
        <w:rPr>
          <w:rFonts w:ascii="Verdana" w:hAnsi="Verdana"/>
          <w:lang w:val="it-IT"/>
        </w:rPr>
        <w:t>, a cura di L. Casini, Il Mulino, 2010</w:t>
      </w:r>
      <w:r>
        <w:rPr>
          <w:rFonts w:ascii="Verdana" w:hAnsi="Verdana"/>
          <w:lang w:val="it-IT"/>
        </w:rPr>
        <w:t>, p. 249-276;</w:t>
      </w:r>
    </w:p>
    <w:p w:rsidR="005B7132" w:rsidRPr="000C6F48" w:rsidRDefault="005B7132" w:rsidP="005B7132">
      <w:pPr>
        <w:pStyle w:val="Aaoeeu"/>
        <w:widowControl/>
        <w:numPr>
          <w:ilvl w:val="0"/>
          <w:numId w:val="1"/>
        </w:numPr>
        <w:spacing w:before="80" w:after="80"/>
        <w:jc w:val="both"/>
        <w:rPr>
          <w:rFonts w:ascii="Verdana" w:hAnsi="Verdana"/>
          <w:lang w:val="it-IT"/>
        </w:rPr>
      </w:pPr>
      <w:r w:rsidRPr="000C6F48">
        <w:rPr>
          <w:rFonts w:ascii="Verdana" w:hAnsi="Verdana"/>
          <w:i/>
          <w:lang w:val="it-IT"/>
        </w:rPr>
        <w:t>La comunicazione della decurtazione dei «punti patente»</w:t>
      </w:r>
      <w:r w:rsidRPr="000C6F48">
        <w:rPr>
          <w:rFonts w:ascii="Verdana" w:hAnsi="Verdana"/>
          <w:lang w:val="it-IT"/>
        </w:rPr>
        <w:t>, in Il Corriere del Merito, n. 8-9/2010, p. 878 ss</w:t>
      </w:r>
      <w:r>
        <w:rPr>
          <w:rFonts w:ascii="Verdana" w:hAnsi="Verdana"/>
          <w:lang w:val="it-IT"/>
        </w:rPr>
        <w:t>.</w:t>
      </w:r>
    </w:p>
    <w:p w:rsidR="005B7132" w:rsidRPr="000C6F48" w:rsidRDefault="005B7132" w:rsidP="005B7132">
      <w:pPr>
        <w:pStyle w:val="Aaoeeu"/>
        <w:widowControl/>
        <w:numPr>
          <w:ilvl w:val="0"/>
          <w:numId w:val="1"/>
        </w:numPr>
        <w:spacing w:before="80" w:after="80"/>
        <w:jc w:val="both"/>
        <w:rPr>
          <w:rFonts w:ascii="Verdana" w:hAnsi="Verdana"/>
          <w:lang w:val="it-IT"/>
        </w:rPr>
      </w:pPr>
      <w:r w:rsidRPr="000C6F48">
        <w:rPr>
          <w:rFonts w:ascii="Verdana" w:hAnsi="Verdana"/>
          <w:i/>
          <w:lang w:val="it-IT"/>
        </w:rPr>
        <w:t>La computabilità della volumetria di edifici preesistenti ai fini del rilascio del permesso di costruire</w:t>
      </w:r>
      <w:r w:rsidRPr="000C6F48">
        <w:rPr>
          <w:rFonts w:ascii="Verdana" w:hAnsi="Verdana"/>
          <w:lang w:val="it-IT"/>
        </w:rPr>
        <w:t>, in Giornale di Diritto Amministrativo, n. 2/2010</w:t>
      </w:r>
    </w:p>
    <w:p w:rsidR="005B7132" w:rsidRPr="000C6F48" w:rsidRDefault="005B7132" w:rsidP="005B7132">
      <w:pPr>
        <w:pStyle w:val="Aaoeeu"/>
        <w:widowControl/>
        <w:numPr>
          <w:ilvl w:val="0"/>
          <w:numId w:val="1"/>
        </w:numPr>
        <w:spacing w:before="80" w:after="80"/>
        <w:jc w:val="both"/>
        <w:rPr>
          <w:rFonts w:ascii="Verdana" w:hAnsi="Verdana"/>
          <w:lang w:val="it-IT"/>
        </w:rPr>
      </w:pPr>
      <w:r w:rsidRPr="000C6F48">
        <w:rPr>
          <w:rFonts w:ascii="Verdana" w:hAnsi="Verdana"/>
          <w:i/>
          <w:lang w:val="it-IT"/>
        </w:rPr>
        <w:t>La nuova semplificazione</w:t>
      </w:r>
      <w:r w:rsidRPr="000C6F48">
        <w:rPr>
          <w:rFonts w:ascii="Verdana" w:hAnsi="Verdana"/>
          <w:lang w:val="it-IT"/>
        </w:rPr>
        <w:t xml:space="preserve">, con B. </w:t>
      </w:r>
      <w:proofErr w:type="spellStart"/>
      <w:r w:rsidRPr="000C6F48">
        <w:rPr>
          <w:rFonts w:ascii="Verdana" w:hAnsi="Verdana"/>
          <w:lang w:val="it-IT"/>
        </w:rPr>
        <w:t>Carotti</w:t>
      </w:r>
      <w:proofErr w:type="spellEnd"/>
      <w:r w:rsidRPr="000C6F48">
        <w:rPr>
          <w:rFonts w:ascii="Verdana" w:hAnsi="Verdana"/>
          <w:lang w:val="it-IT"/>
        </w:rPr>
        <w:t>, Quaderno n. 20 del Giornale di diritto amministrativo, Ipsoa, 2009</w:t>
      </w:r>
    </w:p>
    <w:p w:rsidR="005B7132" w:rsidRPr="000C6F48" w:rsidRDefault="005B7132" w:rsidP="005B7132">
      <w:pPr>
        <w:pStyle w:val="Aaoeeu"/>
        <w:widowControl/>
        <w:numPr>
          <w:ilvl w:val="0"/>
          <w:numId w:val="1"/>
        </w:numPr>
        <w:spacing w:before="80" w:after="80"/>
        <w:jc w:val="both"/>
        <w:rPr>
          <w:rFonts w:ascii="Verdana" w:hAnsi="Verdana"/>
          <w:lang w:val="it-IT"/>
        </w:rPr>
      </w:pPr>
      <w:r w:rsidRPr="000C6F48">
        <w:rPr>
          <w:rFonts w:ascii="Verdana" w:hAnsi="Verdana"/>
          <w:i/>
          <w:lang w:val="it-IT"/>
        </w:rPr>
        <w:t>Limitazioni di carattere civilistico al diritto di costruire e condono edilizio</w:t>
      </w:r>
      <w:r w:rsidRPr="000C6F48">
        <w:rPr>
          <w:rFonts w:ascii="Verdana" w:hAnsi="Verdana"/>
          <w:lang w:val="it-IT"/>
        </w:rPr>
        <w:t>, in Giornale di Diritto Amministrativo n. 7/2008, p. 751 ss</w:t>
      </w:r>
    </w:p>
    <w:p w:rsidR="005B7132" w:rsidRDefault="005B7132" w:rsidP="005B7132">
      <w:pPr>
        <w:pStyle w:val="Aaoeeu"/>
        <w:widowControl/>
        <w:numPr>
          <w:ilvl w:val="0"/>
          <w:numId w:val="1"/>
        </w:numPr>
        <w:spacing w:before="80" w:after="80"/>
        <w:jc w:val="both"/>
        <w:rPr>
          <w:rFonts w:ascii="Verdana" w:hAnsi="Verdana"/>
          <w:lang w:val="it-IT"/>
        </w:rPr>
      </w:pPr>
      <w:r w:rsidRPr="000C6F48">
        <w:rPr>
          <w:rFonts w:ascii="Verdana" w:hAnsi="Verdana"/>
          <w:i/>
          <w:lang w:val="it-IT"/>
        </w:rPr>
        <w:t>I temi di studio della scienza del diritto amministrativo: risultati di una ricerca sul campo</w:t>
      </w:r>
      <w:r w:rsidRPr="000C6F48">
        <w:rPr>
          <w:rFonts w:ascii="Verdana" w:hAnsi="Verdana"/>
          <w:lang w:val="it-IT"/>
        </w:rPr>
        <w:t xml:space="preserve">, con I. </w:t>
      </w:r>
      <w:proofErr w:type="spellStart"/>
      <w:r w:rsidRPr="000C6F48">
        <w:rPr>
          <w:rFonts w:ascii="Verdana" w:hAnsi="Verdana"/>
          <w:lang w:val="it-IT"/>
        </w:rPr>
        <w:t>Chiavarelli</w:t>
      </w:r>
      <w:proofErr w:type="spellEnd"/>
      <w:r w:rsidRPr="000C6F48">
        <w:rPr>
          <w:rFonts w:ascii="Verdana" w:hAnsi="Verdana"/>
          <w:lang w:val="it-IT"/>
        </w:rPr>
        <w:t xml:space="preserve">, in La scienza del diritto amministrativo nella seconda metà del XX secolo a cura di L. Torchia, E. </w:t>
      </w:r>
      <w:proofErr w:type="spellStart"/>
      <w:r w:rsidRPr="000C6F48">
        <w:rPr>
          <w:rFonts w:ascii="Verdana" w:hAnsi="Verdana"/>
          <w:lang w:val="it-IT"/>
        </w:rPr>
        <w:t>Chiti</w:t>
      </w:r>
      <w:proofErr w:type="spellEnd"/>
      <w:r w:rsidRPr="000C6F48">
        <w:rPr>
          <w:rFonts w:ascii="Verdana" w:hAnsi="Verdana"/>
          <w:lang w:val="it-IT"/>
        </w:rPr>
        <w:t xml:space="preserve">, R. </w:t>
      </w:r>
      <w:proofErr w:type="spellStart"/>
      <w:r w:rsidRPr="000C6F48">
        <w:rPr>
          <w:rFonts w:ascii="Verdana" w:hAnsi="Verdana"/>
          <w:lang w:val="it-IT"/>
        </w:rPr>
        <w:t>Perez</w:t>
      </w:r>
      <w:proofErr w:type="spellEnd"/>
      <w:r w:rsidRPr="000C6F48">
        <w:rPr>
          <w:rFonts w:ascii="Verdana" w:hAnsi="Verdana"/>
          <w:lang w:val="it-IT"/>
        </w:rPr>
        <w:t xml:space="preserve">, A. </w:t>
      </w:r>
      <w:proofErr w:type="spellStart"/>
      <w:r w:rsidRPr="000C6F48">
        <w:rPr>
          <w:rFonts w:ascii="Verdana" w:hAnsi="Verdana"/>
          <w:lang w:val="it-IT"/>
        </w:rPr>
        <w:t>Sandulli</w:t>
      </w:r>
      <w:proofErr w:type="spellEnd"/>
      <w:r w:rsidRPr="000C6F48">
        <w:rPr>
          <w:rFonts w:ascii="Verdana" w:hAnsi="Verdana"/>
          <w:lang w:val="it-IT"/>
        </w:rPr>
        <w:t>, Editoriale Scientifica, Napoli, 2008</w:t>
      </w:r>
    </w:p>
    <w:p w:rsidR="005B7132" w:rsidRDefault="005B7132" w:rsidP="005B7132">
      <w:pPr>
        <w:pStyle w:val="Aaoeeu"/>
        <w:widowControl/>
        <w:spacing w:before="80" w:after="80"/>
        <w:jc w:val="both"/>
        <w:rPr>
          <w:rFonts w:ascii="Verdana" w:hAnsi="Verdana"/>
          <w:lang w:val="it-IT"/>
        </w:rPr>
      </w:pPr>
    </w:p>
    <w:p w:rsidR="005B7132" w:rsidRDefault="005B7132" w:rsidP="005B7132">
      <w:pPr>
        <w:pStyle w:val="Aaoeeu"/>
        <w:widowControl/>
        <w:spacing w:before="80" w:after="80"/>
        <w:jc w:val="both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>Curatele:</w:t>
      </w:r>
    </w:p>
    <w:p w:rsidR="005B7132" w:rsidRPr="00C55378" w:rsidRDefault="005B7132" w:rsidP="005B7132">
      <w:pPr>
        <w:pStyle w:val="Aaoeeu"/>
        <w:widowControl/>
        <w:numPr>
          <w:ilvl w:val="0"/>
          <w:numId w:val="1"/>
        </w:numPr>
        <w:spacing w:before="80" w:after="80"/>
        <w:jc w:val="both"/>
        <w:rPr>
          <w:rFonts w:ascii="Verdana" w:hAnsi="Verdana"/>
          <w:lang w:val="it-IT"/>
        </w:rPr>
      </w:pPr>
      <w:r w:rsidRPr="005A3097">
        <w:rPr>
          <w:rFonts w:ascii="Verdana" w:hAnsi="Verdana"/>
          <w:i/>
          <w:lang w:val="it-IT"/>
        </w:rPr>
        <w:t xml:space="preserve">Global </w:t>
      </w:r>
      <w:proofErr w:type="spellStart"/>
      <w:r w:rsidRPr="005A3097">
        <w:rPr>
          <w:rFonts w:ascii="Verdana" w:hAnsi="Verdana"/>
          <w:i/>
          <w:lang w:val="it-IT"/>
        </w:rPr>
        <w:t>Administrative</w:t>
      </w:r>
      <w:proofErr w:type="spellEnd"/>
      <w:r w:rsidRPr="005A3097">
        <w:rPr>
          <w:rFonts w:ascii="Verdana" w:hAnsi="Verdana"/>
          <w:i/>
          <w:lang w:val="it-IT"/>
        </w:rPr>
        <w:t xml:space="preserve"> </w:t>
      </w:r>
      <w:proofErr w:type="spellStart"/>
      <w:r w:rsidRPr="005A3097">
        <w:rPr>
          <w:rFonts w:ascii="Verdana" w:hAnsi="Verdana"/>
          <w:i/>
          <w:lang w:val="it-IT"/>
        </w:rPr>
        <w:t>Law</w:t>
      </w:r>
      <w:proofErr w:type="spellEnd"/>
      <w:r w:rsidRPr="005A3097">
        <w:rPr>
          <w:rFonts w:ascii="Verdana" w:hAnsi="Verdana"/>
          <w:i/>
          <w:lang w:val="it-IT"/>
        </w:rPr>
        <w:t xml:space="preserve">: The </w:t>
      </w:r>
      <w:proofErr w:type="spellStart"/>
      <w:r w:rsidRPr="005A3097">
        <w:rPr>
          <w:rFonts w:ascii="Verdana" w:hAnsi="Verdana"/>
          <w:i/>
          <w:lang w:val="it-IT"/>
        </w:rPr>
        <w:t>Casebook</w:t>
      </w:r>
      <w:proofErr w:type="spellEnd"/>
      <w:r w:rsidRPr="005A3097">
        <w:rPr>
          <w:rFonts w:ascii="Verdana" w:hAnsi="Verdana"/>
          <w:lang w:val="it-IT"/>
        </w:rPr>
        <w:t xml:space="preserve">, 3 ed., a cura di S. </w:t>
      </w:r>
      <w:proofErr w:type="spellStart"/>
      <w:r w:rsidRPr="005A3097">
        <w:rPr>
          <w:rFonts w:ascii="Verdana" w:hAnsi="Verdana"/>
          <w:lang w:val="it-IT"/>
        </w:rPr>
        <w:t>Cassese</w:t>
      </w:r>
      <w:proofErr w:type="spellEnd"/>
      <w:r w:rsidRPr="005A3097">
        <w:rPr>
          <w:rFonts w:ascii="Verdana" w:hAnsi="Verdana"/>
          <w:lang w:val="it-IT"/>
        </w:rPr>
        <w:t xml:space="preserve">, L. Casini, B. </w:t>
      </w:r>
      <w:proofErr w:type="spellStart"/>
      <w:r w:rsidRPr="005A3097">
        <w:rPr>
          <w:rFonts w:ascii="Verdana" w:hAnsi="Verdana"/>
          <w:lang w:val="it-IT"/>
        </w:rPr>
        <w:t>Carotti</w:t>
      </w:r>
      <w:proofErr w:type="spellEnd"/>
      <w:r w:rsidRPr="005A3097">
        <w:rPr>
          <w:rFonts w:ascii="Verdana" w:hAnsi="Verdana"/>
          <w:lang w:val="it-IT"/>
        </w:rPr>
        <w:t xml:space="preserve">, E. Cavalieri, E. </w:t>
      </w:r>
      <w:proofErr w:type="spellStart"/>
      <w:r w:rsidRPr="005A3097">
        <w:rPr>
          <w:rFonts w:ascii="Verdana" w:hAnsi="Verdana"/>
          <w:lang w:val="it-IT"/>
        </w:rPr>
        <w:t>MacDonald</w:t>
      </w:r>
      <w:proofErr w:type="spellEnd"/>
      <w:r w:rsidRPr="005A3097">
        <w:rPr>
          <w:rFonts w:ascii="Verdana" w:hAnsi="Verdana"/>
          <w:lang w:val="it-IT"/>
        </w:rPr>
        <w:t>, 2012;</w:t>
      </w:r>
    </w:p>
    <w:p w:rsidR="005B7132" w:rsidRDefault="005B7132" w:rsidP="005B7132">
      <w:pPr>
        <w:pStyle w:val="Aaoeeu"/>
        <w:widowControl/>
        <w:spacing w:before="80" w:after="80"/>
        <w:jc w:val="both"/>
        <w:rPr>
          <w:rFonts w:ascii="Verdana" w:hAnsi="Verdana"/>
          <w:lang w:val="it-IT"/>
        </w:rPr>
      </w:pPr>
    </w:p>
    <w:p w:rsidR="005B7132" w:rsidRDefault="005B7132" w:rsidP="005B7132">
      <w:pPr>
        <w:pStyle w:val="Aaoeeu"/>
        <w:widowControl/>
        <w:spacing w:before="80" w:after="80"/>
        <w:jc w:val="both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>Segnalazioni:</w:t>
      </w:r>
    </w:p>
    <w:p w:rsidR="005B7132" w:rsidRDefault="005B7132" w:rsidP="005B7132">
      <w:pPr>
        <w:pStyle w:val="Aaoeeu"/>
        <w:widowControl/>
        <w:numPr>
          <w:ilvl w:val="0"/>
          <w:numId w:val="1"/>
        </w:numPr>
        <w:spacing w:before="80" w:after="80"/>
        <w:jc w:val="both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 xml:space="preserve">A. </w:t>
      </w:r>
      <w:proofErr w:type="spellStart"/>
      <w:r>
        <w:rPr>
          <w:rFonts w:ascii="Verdana" w:hAnsi="Verdana"/>
          <w:lang w:val="it-IT"/>
        </w:rPr>
        <w:t>Natalini</w:t>
      </w:r>
      <w:proofErr w:type="spellEnd"/>
      <w:r>
        <w:rPr>
          <w:rFonts w:ascii="Verdana" w:hAnsi="Verdana"/>
          <w:lang w:val="it-IT"/>
        </w:rPr>
        <w:t xml:space="preserve"> – G. </w:t>
      </w:r>
      <w:proofErr w:type="spellStart"/>
      <w:r>
        <w:rPr>
          <w:rFonts w:ascii="Verdana" w:hAnsi="Verdana"/>
          <w:lang w:val="it-IT"/>
        </w:rPr>
        <w:t>Tiberi</w:t>
      </w:r>
      <w:proofErr w:type="spellEnd"/>
      <w:r>
        <w:rPr>
          <w:rFonts w:ascii="Verdana" w:hAnsi="Verdana"/>
          <w:lang w:val="it-IT"/>
        </w:rPr>
        <w:t xml:space="preserve"> (a cura di), </w:t>
      </w:r>
      <w:r>
        <w:rPr>
          <w:rFonts w:ascii="Verdana" w:hAnsi="Verdana"/>
          <w:i/>
          <w:lang w:val="it-IT"/>
        </w:rPr>
        <w:t>La tela di Penelope</w:t>
      </w:r>
      <w:r>
        <w:rPr>
          <w:rFonts w:ascii="Verdana" w:hAnsi="Verdana"/>
          <w:lang w:val="it-IT"/>
        </w:rPr>
        <w:t xml:space="preserve">, sul Giornale di diritto amministrativo, Ipsoa, </w:t>
      </w:r>
      <w:r w:rsidRPr="00EA430D">
        <w:rPr>
          <w:rFonts w:ascii="Verdana" w:hAnsi="Verdana"/>
          <w:lang w:val="it-IT"/>
        </w:rPr>
        <w:t>2011</w:t>
      </w:r>
      <w:r>
        <w:rPr>
          <w:rFonts w:ascii="Verdana" w:hAnsi="Verdana"/>
          <w:lang w:val="it-IT"/>
        </w:rPr>
        <w:t>.</w:t>
      </w:r>
    </w:p>
    <w:p w:rsidR="005B7132" w:rsidRPr="0012385C" w:rsidRDefault="005B7132" w:rsidP="005B7132">
      <w:pPr>
        <w:pStyle w:val="Aaoeeu"/>
        <w:widowControl/>
        <w:numPr>
          <w:ilvl w:val="0"/>
          <w:numId w:val="1"/>
        </w:numPr>
        <w:spacing w:before="80" w:after="80"/>
        <w:jc w:val="both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 xml:space="preserve">M. </w:t>
      </w:r>
      <w:proofErr w:type="spellStart"/>
      <w:r>
        <w:rPr>
          <w:rFonts w:ascii="Verdana" w:hAnsi="Verdana"/>
          <w:lang w:val="it-IT"/>
        </w:rPr>
        <w:t>Cocconi</w:t>
      </w:r>
      <w:proofErr w:type="spellEnd"/>
      <w:r>
        <w:rPr>
          <w:rFonts w:ascii="Verdana" w:hAnsi="Verdana"/>
          <w:lang w:val="it-IT"/>
        </w:rPr>
        <w:t xml:space="preserve">, </w:t>
      </w:r>
      <w:r>
        <w:rPr>
          <w:rFonts w:ascii="Verdana" w:hAnsi="Verdana"/>
          <w:i/>
          <w:lang w:val="it-IT"/>
        </w:rPr>
        <w:t>La partecipazione all’attività amministrativa generale</w:t>
      </w:r>
      <w:r>
        <w:rPr>
          <w:rFonts w:ascii="Verdana" w:hAnsi="Verdana"/>
          <w:lang w:val="it-IT"/>
        </w:rPr>
        <w:t>,</w:t>
      </w:r>
      <w:r w:rsidRPr="0012385C">
        <w:rPr>
          <w:rFonts w:ascii="Verdana" w:hAnsi="Verdana"/>
          <w:lang w:val="it-IT"/>
        </w:rPr>
        <w:t xml:space="preserve"> </w:t>
      </w:r>
      <w:r>
        <w:rPr>
          <w:rFonts w:ascii="Verdana" w:hAnsi="Verdana"/>
          <w:lang w:val="it-IT"/>
        </w:rPr>
        <w:t>in corso di pubblicazione sul Giornale di diritto amministrativo, Ipsoa, n. 4/2011.</w:t>
      </w:r>
    </w:p>
    <w:p w:rsidR="005B7132" w:rsidRDefault="005B7132" w:rsidP="005B7132">
      <w:pPr>
        <w:pStyle w:val="Aaoeeu"/>
        <w:widowControl/>
        <w:numPr>
          <w:ilvl w:val="0"/>
          <w:numId w:val="1"/>
        </w:numPr>
        <w:spacing w:before="80" w:after="80"/>
        <w:jc w:val="both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 xml:space="preserve">M. Cammelli – C. Barbati – G. </w:t>
      </w:r>
      <w:proofErr w:type="spellStart"/>
      <w:r>
        <w:rPr>
          <w:rFonts w:ascii="Verdana" w:hAnsi="Verdana"/>
          <w:lang w:val="it-IT"/>
        </w:rPr>
        <w:t>Sciullo</w:t>
      </w:r>
      <w:proofErr w:type="spellEnd"/>
      <w:r>
        <w:rPr>
          <w:rFonts w:ascii="Verdana" w:hAnsi="Verdana"/>
          <w:lang w:val="it-IT"/>
        </w:rPr>
        <w:t xml:space="preserve">, </w:t>
      </w:r>
      <w:r>
        <w:rPr>
          <w:rFonts w:ascii="Verdana" w:hAnsi="Verdana"/>
          <w:i/>
          <w:lang w:val="it-IT"/>
        </w:rPr>
        <w:t>Diritto e gestione dei beni culturali</w:t>
      </w:r>
      <w:r>
        <w:rPr>
          <w:rFonts w:ascii="Verdana" w:hAnsi="Verdana"/>
          <w:lang w:val="it-IT"/>
        </w:rPr>
        <w:t>, in corso di pubblicazione sul Giornale di diritto amministrativo, Ipsoa, n. 5/2011.</w:t>
      </w:r>
    </w:p>
    <w:p w:rsidR="005B7132" w:rsidRDefault="005B7132" w:rsidP="005B7132">
      <w:pPr>
        <w:pStyle w:val="Aaoeeu"/>
        <w:widowControl/>
        <w:numPr>
          <w:ilvl w:val="0"/>
          <w:numId w:val="1"/>
        </w:numPr>
        <w:spacing w:before="80" w:after="80"/>
        <w:jc w:val="both"/>
        <w:rPr>
          <w:rFonts w:ascii="Verdana" w:hAnsi="Verdana"/>
          <w:lang w:val="en-GB"/>
        </w:rPr>
      </w:pPr>
      <w:r w:rsidRPr="0080470C">
        <w:rPr>
          <w:rFonts w:ascii="Verdana" w:hAnsi="Verdana"/>
          <w:lang w:val="en-GB"/>
        </w:rPr>
        <w:t xml:space="preserve">L. </w:t>
      </w:r>
      <w:proofErr w:type="spellStart"/>
      <w:r w:rsidRPr="0080470C">
        <w:rPr>
          <w:rFonts w:ascii="Verdana" w:hAnsi="Verdana"/>
          <w:lang w:val="en-GB"/>
        </w:rPr>
        <w:t>Dragomir</w:t>
      </w:r>
      <w:proofErr w:type="spellEnd"/>
      <w:r w:rsidRPr="0080470C">
        <w:rPr>
          <w:rFonts w:ascii="Verdana" w:hAnsi="Verdana"/>
          <w:lang w:val="en-GB"/>
        </w:rPr>
        <w:t xml:space="preserve">, European Prudential Banking Regulation and Supervision, </w:t>
      </w:r>
      <w:proofErr w:type="spellStart"/>
      <w:r w:rsidRPr="0080470C">
        <w:rPr>
          <w:rFonts w:ascii="Verdana" w:hAnsi="Verdana"/>
          <w:lang w:val="en-GB"/>
        </w:rPr>
        <w:t>Routledge</w:t>
      </w:r>
      <w:proofErr w:type="spellEnd"/>
      <w:r w:rsidRPr="0080470C">
        <w:rPr>
          <w:rFonts w:ascii="Verdana" w:hAnsi="Verdana"/>
          <w:lang w:val="en-GB"/>
        </w:rPr>
        <w:t xml:space="preserve">, </w:t>
      </w:r>
      <w:smartTag w:uri="urn:schemas-microsoft-com:office:smarttags" w:element="City">
        <w:r w:rsidRPr="0080470C">
          <w:rPr>
            <w:rFonts w:ascii="Verdana" w:hAnsi="Verdana"/>
            <w:lang w:val="en-GB"/>
          </w:rPr>
          <w:t>London</w:t>
        </w:r>
      </w:smartTag>
      <w:r w:rsidRPr="0080470C">
        <w:rPr>
          <w:rFonts w:ascii="Verdana" w:hAnsi="Verdana"/>
          <w:lang w:val="en-GB"/>
        </w:rPr>
        <w:t>-</w:t>
      </w:r>
      <w:smartTag w:uri="urn:schemas-microsoft-com:office:smarttags" w:element="State">
        <w:smartTag w:uri="urn:schemas-microsoft-com:office:smarttags" w:element="place">
          <w:r w:rsidRPr="0080470C">
            <w:rPr>
              <w:rFonts w:ascii="Verdana" w:hAnsi="Verdana"/>
              <w:lang w:val="en-GB"/>
            </w:rPr>
            <w:t>New York</w:t>
          </w:r>
        </w:smartTag>
      </w:smartTag>
      <w:r w:rsidRPr="0080470C">
        <w:rPr>
          <w:rFonts w:ascii="Verdana" w:hAnsi="Verdana"/>
          <w:lang w:val="en-GB"/>
        </w:rPr>
        <w:t xml:space="preserve">, </w:t>
      </w:r>
      <w:smartTag w:uri="urn:schemas-microsoft-com:office:smarttags" w:element="metricconverter">
        <w:smartTagPr>
          <w:attr w:name="ProductID" w:val="2010, in"/>
        </w:smartTagPr>
        <w:r w:rsidRPr="0080470C">
          <w:rPr>
            <w:rFonts w:ascii="Verdana" w:hAnsi="Verdana"/>
            <w:lang w:val="en-GB"/>
          </w:rPr>
          <w:t>2010</w:t>
        </w:r>
        <w:r>
          <w:rPr>
            <w:rFonts w:ascii="Verdana" w:hAnsi="Verdana"/>
            <w:lang w:val="en-GB"/>
          </w:rPr>
          <w:t>, in</w:t>
        </w:r>
      </w:smartTag>
      <w:r>
        <w:rPr>
          <w:rFonts w:ascii="Verdana" w:hAnsi="Verdana"/>
          <w:lang w:val="en-GB"/>
        </w:rPr>
        <w:t xml:space="preserve"> </w:t>
      </w:r>
      <w:proofErr w:type="spellStart"/>
      <w:r>
        <w:rPr>
          <w:rFonts w:ascii="Verdana" w:hAnsi="Verdana"/>
          <w:lang w:val="en-GB"/>
        </w:rPr>
        <w:t>Rivista</w:t>
      </w:r>
      <w:proofErr w:type="spellEnd"/>
      <w:r>
        <w:rPr>
          <w:rFonts w:ascii="Verdana" w:hAnsi="Verdana"/>
          <w:lang w:val="en-GB"/>
        </w:rPr>
        <w:t xml:space="preserve"> </w:t>
      </w:r>
      <w:proofErr w:type="spellStart"/>
      <w:r>
        <w:rPr>
          <w:rFonts w:ascii="Verdana" w:hAnsi="Verdana"/>
          <w:lang w:val="en-GB"/>
        </w:rPr>
        <w:t>Trimestrale</w:t>
      </w:r>
      <w:proofErr w:type="spellEnd"/>
      <w:r>
        <w:rPr>
          <w:rFonts w:ascii="Verdana" w:hAnsi="Verdana"/>
          <w:lang w:val="en-GB"/>
        </w:rPr>
        <w:t xml:space="preserve"> </w:t>
      </w:r>
      <w:proofErr w:type="spellStart"/>
      <w:r>
        <w:rPr>
          <w:rFonts w:ascii="Verdana" w:hAnsi="Verdana"/>
          <w:lang w:val="en-GB"/>
        </w:rPr>
        <w:t>di</w:t>
      </w:r>
      <w:proofErr w:type="spellEnd"/>
      <w:r>
        <w:rPr>
          <w:rFonts w:ascii="Verdana" w:hAnsi="Verdana"/>
          <w:lang w:val="en-GB"/>
        </w:rPr>
        <w:t xml:space="preserve"> </w:t>
      </w:r>
      <w:proofErr w:type="spellStart"/>
      <w:r>
        <w:rPr>
          <w:rFonts w:ascii="Verdana" w:hAnsi="Verdana"/>
          <w:lang w:val="en-GB"/>
        </w:rPr>
        <w:t>Diritto</w:t>
      </w:r>
      <w:proofErr w:type="spellEnd"/>
      <w:r>
        <w:rPr>
          <w:rFonts w:ascii="Verdana" w:hAnsi="Verdana"/>
          <w:lang w:val="en-GB"/>
        </w:rPr>
        <w:t xml:space="preserve"> </w:t>
      </w:r>
      <w:proofErr w:type="spellStart"/>
      <w:r>
        <w:rPr>
          <w:rFonts w:ascii="Verdana" w:hAnsi="Verdana"/>
          <w:lang w:val="en-GB"/>
        </w:rPr>
        <w:t>Pubblico</w:t>
      </w:r>
      <w:proofErr w:type="spellEnd"/>
      <w:r>
        <w:rPr>
          <w:rFonts w:ascii="Verdana" w:hAnsi="Verdana"/>
          <w:lang w:val="en-GB"/>
        </w:rPr>
        <w:t>, 2011</w:t>
      </w:r>
    </w:p>
    <w:p w:rsidR="005B7132" w:rsidRDefault="005B7132" w:rsidP="005B7132">
      <w:pPr>
        <w:pStyle w:val="Aaoeeu"/>
        <w:widowControl/>
        <w:numPr>
          <w:ilvl w:val="0"/>
          <w:numId w:val="1"/>
        </w:numPr>
        <w:spacing w:before="80" w:after="80"/>
        <w:jc w:val="both"/>
        <w:rPr>
          <w:rFonts w:ascii="Verdana" w:hAnsi="Verdana"/>
          <w:lang w:val="it-IT"/>
        </w:rPr>
      </w:pPr>
      <w:r w:rsidRPr="00B76ABA">
        <w:rPr>
          <w:rFonts w:ascii="Verdana" w:hAnsi="Verdana"/>
          <w:lang w:val="it-IT"/>
        </w:rPr>
        <w:t xml:space="preserve">AA.VV., </w:t>
      </w:r>
      <w:r w:rsidRPr="00B76ABA">
        <w:rPr>
          <w:rFonts w:ascii="Verdana" w:hAnsi="Verdana"/>
          <w:i/>
          <w:lang w:val="it-IT"/>
        </w:rPr>
        <w:t>L’essenza della democrazia.</w:t>
      </w:r>
      <w:r>
        <w:rPr>
          <w:rFonts w:ascii="Verdana" w:hAnsi="Verdana"/>
          <w:i/>
          <w:lang w:val="it-IT"/>
        </w:rPr>
        <w:t xml:space="preserve"> I diritti umani e il ruolo dell’avvocatura</w:t>
      </w:r>
      <w:r w:rsidRPr="00B76ABA">
        <w:rPr>
          <w:rFonts w:ascii="Verdana" w:hAnsi="Verdana"/>
          <w:lang w:val="it-IT"/>
        </w:rPr>
        <w:t>,</w:t>
      </w:r>
      <w:r>
        <w:rPr>
          <w:rFonts w:ascii="Verdana" w:hAnsi="Verdana"/>
          <w:lang w:val="it-IT"/>
        </w:rPr>
        <w:t xml:space="preserve"> Consiglio Nazionale Forense, </w:t>
      </w:r>
      <w:proofErr w:type="spellStart"/>
      <w:r>
        <w:rPr>
          <w:rFonts w:ascii="Verdana" w:hAnsi="Verdana"/>
          <w:lang w:val="it-IT"/>
        </w:rPr>
        <w:t>Carocci</w:t>
      </w:r>
      <w:proofErr w:type="spellEnd"/>
      <w:r>
        <w:rPr>
          <w:rFonts w:ascii="Verdana" w:hAnsi="Verdana"/>
          <w:lang w:val="it-IT"/>
        </w:rPr>
        <w:t xml:space="preserve"> 2010; in Rivista Trimestrale di Diritto Pubblico, n. 2/2012</w:t>
      </w:r>
      <w:r w:rsidRPr="00B76ABA">
        <w:rPr>
          <w:rFonts w:ascii="Verdana" w:hAnsi="Verdana"/>
          <w:lang w:val="it-IT"/>
        </w:rPr>
        <w:t xml:space="preserve"> </w:t>
      </w:r>
    </w:p>
    <w:p w:rsidR="005B7132" w:rsidRPr="0065303F" w:rsidRDefault="005B7132" w:rsidP="005B7132">
      <w:pPr>
        <w:pStyle w:val="Aaoeeu"/>
        <w:widowControl/>
        <w:numPr>
          <w:ilvl w:val="0"/>
          <w:numId w:val="1"/>
        </w:numPr>
        <w:spacing w:before="80" w:after="80"/>
        <w:jc w:val="both"/>
        <w:rPr>
          <w:rFonts w:ascii="Verdana" w:hAnsi="Verdana"/>
          <w:lang w:val="it-IT"/>
        </w:rPr>
      </w:pPr>
      <w:r w:rsidRPr="00F94629">
        <w:rPr>
          <w:rFonts w:ascii="Verdana" w:hAnsi="Verdana"/>
          <w:i/>
          <w:lang w:val="it-IT"/>
        </w:rPr>
        <w:t>L’analisi distributiva degli effetti ambientali delle decisioni come contenuto dell’AIR</w:t>
      </w:r>
      <w:r>
        <w:rPr>
          <w:rFonts w:ascii="Verdana" w:hAnsi="Verdana"/>
          <w:lang w:val="it-IT"/>
        </w:rPr>
        <w:t>,</w:t>
      </w:r>
      <w:r w:rsidRPr="0065303F">
        <w:rPr>
          <w:rFonts w:ascii="Verdana" w:hAnsi="Verdana"/>
          <w:lang w:val="it-IT"/>
        </w:rPr>
        <w:t xml:space="preserve"> segnalazione del contributo di H. Spencer </w:t>
      </w:r>
      <w:proofErr w:type="spellStart"/>
      <w:r w:rsidRPr="0065303F">
        <w:rPr>
          <w:rFonts w:ascii="Verdana" w:hAnsi="Verdana"/>
          <w:lang w:val="it-IT"/>
        </w:rPr>
        <w:t>Banzhaf</w:t>
      </w:r>
      <w:proofErr w:type="spellEnd"/>
      <w:r w:rsidRPr="0065303F">
        <w:rPr>
          <w:rFonts w:ascii="Verdana" w:hAnsi="Verdana"/>
          <w:lang w:val="it-IT"/>
        </w:rPr>
        <w:t xml:space="preserve">, </w:t>
      </w:r>
      <w:proofErr w:type="spellStart"/>
      <w:r w:rsidRPr="0065303F">
        <w:rPr>
          <w:rFonts w:ascii="Verdana" w:hAnsi="Verdana"/>
          <w:i/>
          <w:lang w:val="it-IT"/>
        </w:rPr>
        <w:t>Regulatory</w:t>
      </w:r>
      <w:proofErr w:type="spellEnd"/>
      <w:r w:rsidRPr="0065303F">
        <w:rPr>
          <w:rFonts w:ascii="Verdana" w:hAnsi="Verdana"/>
          <w:i/>
          <w:lang w:val="it-IT"/>
        </w:rPr>
        <w:t xml:space="preserve"> Impact </w:t>
      </w:r>
      <w:proofErr w:type="spellStart"/>
      <w:r w:rsidRPr="0065303F">
        <w:rPr>
          <w:rFonts w:ascii="Verdana" w:hAnsi="Verdana"/>
          <w:i/>
          <w:lang w:val="it-IT"/>
        </w:rPr>
        <w:t>Analyses</w:t>
      </w:r>
      <w:proofErr w:type="spellEnd"/>
      <w:r w:rsidRPr="0065303F">
        <w:rPr>
          <w:rFonts w:ascii="Verdana" w:hAnsi="Verdana"/>
          <w:i/>
          <w:lang w:val="it-IT"/>
        </w:rPr>
        <w:t xml:space="preserve"> </w:t>
      </w:r>
      <w:proofErr w:type="spellStart"/>
      <w:r w:rsidRPr="0065303F">
        <w:rPr>
          <w:rFonts w:ascii="Verdana" w:hAnsi="Verdana"/>
          <w:i/>
          <w:lang w:val="it-IT"/>
        </w:rPr>
        <w:t>of</w:t>
      </w:r>
      <w:proofErr w:type="spellEnd"/>
      <w:r w:rsidRPr="0065303F">
        <w:rPr>
          <w:rFonts w:ascii="Verdana" w:hAnsi="Verdana"/>
          <w:i/>
          <w:lang w:val="it-IT"/>
        </w:rPr>
        <w:t xml:space="preserve"> </w:t>
      </w:r>
      <w:proofErr w:type="spellStart"/>
      <w:r w:rsidRPr="0065303F">
        <w:rPr>
          <w:rFonts w:ascii="Verdana" w:hAnsi="Verdana"/>
          <w:i/>
          <w:lang w:val="it-IT"/>
        </w:rPr>
        <w:t>Environmental</w:t>
      </w:r>
      <w:proofErr w:type="spellEnd"/>
      <w:r w:rsidRPr="0065303F">
        <w:rPr>
          <w:rFonts w:ascii="Verdana" w:hAnsi="Verdana"/>
          <w:i/>
          <w:lang w:val="it-IT"/>
        </w:rPr>
        <w:t xml:space="preserve"> </w:t>
      </w:r>
      <w:proofErr w:type="spellStart"/>
      <w:r w:rsidRPr="0065303F">
        <w:rPr>
          <w:rFonts w:ascii="Verdana" w:hAnsi="Verdana"/>
          <w:i/>
          <w:lang w:val="it-IT"/>
        </w:rPr>
        <w:t>Justice</w:t>
      </w:r>
      <w:proofErr w:type="spellEnd"/>
      <w:r w:rsidRPr="0065303F">
        <w:rPr>
          <w:rFonts w:ascii="Verdana" w:hAnsi="Verdana"/>
          <w:i/>
          <w:lang w:val="it-IT"/>
        </w:rPr>
        <w:t xml:space="preserve"> </w:t>
      </w:r>
      <w:proofErr w:type="spellStart"/>
      <w:r w:rsidRPr="0065303F">
        <w:rPr>
          <w:rFonts w:ascii="Verdana" w:hAnsi="Verdana"/>
          <w:i/>
          <w:lang w:val="it-IT"/>
        </w:rPr>
        <w:t>Effects</w:t>
      </w:r>
      <w:proofErr w:type="spellEnd"/>
      <w:r w:rsidRPr="0065303F">
        <w:rPr>
          <w:rFonts w:ascii="Verdana" w:hAnsi="Verdana"/>
          <w:lang w:val="it-IT"/>
        </w:rPr>
        <w:t xml:space="preserve">, in Journal </w:t>
      </w:r>
      <w:proofErr w:type="spellStart"/>
      <w:r w:rsidRPr="0065303F">
        <w:rPr>
          <w:rFonts w:ascii="Verdana" w:hAnsi="Verdana"/>
          <w:lang w:val="it-IT"/>
        </w:rPr>
        <w:t>of</w:t>
      </w:r>
      <w:proofErr w:type="spellEnd"/>
      <w:r w:rsidRPr="0065303F">
        <w:rPr>
          <w:rFonts w:ascii="Verdana" w:hAnsi="Verdana"/>
          <w:lang w:val="it-IT"/>
        </w:rPr>
        <w:t xml:space="preserve"> </w:t>
      </w:r>
      <w:proofErr w:type="spellStart"/>
      <w:r w:rsidRPr="0065303F">
        <w:rPr>
          <w:rFonts w:ascii="Verdana" w:hAnsi="Verdana"/>
          <w:lang w:val="it-IT"/>
        </w:rPr>
        <w:t>Land</w:t>
      </w:r>
      <w:proofErr w:type="spellEnd"/>
      <w:r w:rsidRPr="0065303F">
        <w:rPr>
          <w:rFonts w:ascii="Verdana" w:hAnsi="Verdana"/>
          <w:lang w:val="it-IT"/>
        </w:rPr>
        <w:t xml:space="preserve"> </w:t>
      </w:r>
      <w:proofErr w:type="spellStart"/>
      <w:r w:rsidRPr="0065303F">
        <w:rPr>
          <w:rFonts w:ascii="Verdana" w:hAnsi="Verdana"/>
          <w:lang w:val="it-IT"/>
        </w:rPr>
        <w:t>Use</w:t>
      </w:r>
      <w:proofErr w:type="spellEnd"/>
      <w:r w:rsidRPr="0065303F">
        <w:rPr>
          <w:rFonts w:ascii="Verdana" w:hAnsi="Verdana"/>
          <w:lang w:val="it-IT"/>
        </w:rPr>
        <w:t xml:space="preserve"> and </w:t>
      </w:r>
      <w:proofErr w:type="spellStart"/>
      <w:r w:rsidRPr="0065303F">
        <w:rPr>
          <w:rFonts w:ascii="Verdana" w:hAnsi="Verdana"/>
          <w:lang w:val="it-IT"/>
        </w:rPr>
        <w:t>Environmental</w:t>
      </w:r>
      <w:proofErr w:type="spellEnd"/>
      <w:r w:rsidRPr="0065303F">
        <w:rPr>
          <w:rFonts w:ascii="Verdana" w:hAnsi="Verdana"/>
          <w:lang w:val="it-IT"/>
        </w:rPr>
        <w:t xml:space="preserve"> </w:t>
      </w:r>
      <w:proofErr w:type="spellStart"/>
      <w:r w:rsidRPr="0065303F">
        <w:rPr>
          <w:rFonts w:ascii="Verdana" w:hAnsi="Verdana"/>
          <w:lang w:val="it-IT"/>
        </w:rPr>
        <w:t>Law</w:t>
      </w:r>
      <w:proofErr w:type="spellEnd"/>
      <w:r w:rsidRPr="0065303F">
        <w:rPr>
          <w:rFonts w:ascii="Verdana" w:hAnsi="Verdana"/>
          <w:lang w:val="it-IT"/>
        </w:rPr>
        <w:t>, Vol. 27, 1, 2011, 2-30</w:t>
      </w:r>
      <w:r>
        <w:rPr>
          <w:rFonts w:ascii="Verdana" w:hAnsi="Verdana"/>
          <w:lang w:val="it-IT"/>
        </w:rPr>
        <w:t xml:space="preserve">, in </w:t>
      </w:r>
      <w:hyperlink r:id="rId7" w:history="1">
        <w:r w:rsidRPr="00EC216E">
          <w:rPr>
            <w:rStyle w:val="Collegamentoipertestuale"/>
            <w:rFonts w:ascii="Verdana" w:hAnsi="Verdana"/>
            <w:lang w:val="it-IT"/>
          </w:rPr>
          <w:t>www.osservatorioair.it</w:t>
        </w:r>
      </w:hyperlink>
      <w:r>
        <w:rPr>
          <w:rFonts w:ascii="Verdana" w:hAnsi="Verdana"/>
          <w:lang w:val="it-IT"/>
        </w:rPr>
        <w:t xml:space="preserve"> </w:t>
      </w:r>
    </w:p>
    <w:p w:rsidR="005B7132" w:rsidRPr="0065303F" w:rsidRDefault="005B7132" w:rsidP="005B7132">
      <w:pPr>
        <w:pStyle w:val="Aaoeeu"/>
        <w:widowControl/>
        <w:spacing w:before="80" w:after="80"/>
        <w:jc w:val="both"/>
        <w:rPr>
          <w:rFonts w:ascii="Verdana" w:hAnsi="Verdana"/>
          <w:b/>
          <w:lang w:val="it-IT"/>
        </w:rPr>
      </w:pPr>
    </w:p>
    <w:p w:rsidR="005B7132" w:rsidRDefault="005B7132" w:rsidP="005B7132">
      <w:pPr>
        <w:pStyle w:val="Aaoeeu"/>
        <w:widowControl/>
        <w:spacing w:before="80" w:after="80"/>
        <w:jc w:val="both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>Notizie:</w:t>
      </w:r>
    </w:p>
    <w:p w:rsidR="005B7132" w:rsidRDefault="005B7132" w:rsidP="005B7132">
      <w:pPr>
        <w:pStyle w:val="Aaoeeu"/>
        <w:widowControl/>
        <w:numPr>
          <w:ilvl w:val="0"/>
          <w:numId w:val="1"/>
        </w:numPr>
        <w:spacing w:before="80" w:after="80"/>
        <w:jc w:val="both"/>
        <w:rPr>
          <w:rFonts w:ascii="Verdana" w:hAnsi="Verdana"/>
          <w:lang w:val="it-IT"/>
        </w:rPr>
      </w:pPr>
      <w:r>
        <w:rPr>
          <w:rFonts w:ascii="Verdana" w:hAnsi="Verdana"/>
          <w:i/>
          <w:lang w:val="it-IT"/>
        </w:rPr>
        <w:t>Un incontro sulle regole anti-corruzione</w:t>
      </w:r>
      <w:r>
        <w:rPr>
          <w:rFonts w:ascii="Verdana" w:hAnsi="Verdana"/>
          <w:lang w:val="it-IT"/>
        </w:rPr>
        <w:t>, Notizia sull’incontro tenutosi il 23 marzo 2012 presso il Dipartimento della funzione pubblica, in Rivista Trimestrale di diritto pubblico, n. 2/2012</w:t>
      </w:r>
    </w:p>
    <w:p w:rsidR="005B7132" w:rsidRDefault="005B7132" w:rsidP="005B7132">
      <w:pPr>
        <w:pStyle w:val="Aaoeeu"/>
        <w:widowControl/>
        <w:spacing w:before="80" w:after="80"/>
        <w:jc w:val="both"/>
        <w:rPr>
          <w:rFonts w:ascii="Verdana" w:hAnsi="Verdana"/>
          <w:b/>
          <w:lang w:val="it-IT"/>
        </w:rPr>
      </w:pPr>
    </w:p>
    <w:p w:rsidR="005B7132" w:rsidRDefault="005B7132" w:rsidP="005B7132">
      <w:pPr>
        <w:pStyle w:val="Aaoeeu"/>
        <w:widowControl/>
        <w:spacing w:before="80" w:after="80"/>
        <w:jc w:val="both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>Collaborazioni alla redazione:</w:t>
      </w:r>
    </w:p>
    <w:p w:rsidR="005B7132" w:rsidRPr="00C55378" w:rsidRDefault="005B7132" w:rsidP="005B7132">
      <w:pPr>
        <w:pStyle w:val="Aaoeeu"/>
        <w:widowControl/>
        <w:numPr>
          <w:ilvl w:val="0"/>
          <w:numId w:val="1"/>
        </w:numPr>
        <w:spacing w:before="80" w:after="80"/>
        <w:jc w:val="both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 xml:space="preserve">“Codice ipertestuale dell’edilizia e dell’urbanistica” a cura di G. </w:t>
      </w:r>
      <w:proofErr w:type="spellStart"/>
      <w:r>
        <w:rPr>
          <w:rFonts w:ascii="Verdana" w:hAnsi="Verdana"/>
          <w:lang w:val="it-IT"/>
        </w:rPr>
        <w:t>Vesperini</w:t>
      </w:r>
      <w:proofErr w:type="spellEnd"/>
      <w:r>
        <w:rPr>
          <w:rFonts w:ascii="Verdana" w:hAnsi="Verdana"/>
          <w:lang w:val="it-IT"/>
        </w:rPr>
        <w:t xml:space="preserve">, S. </w:t>
      </w:r>
      <w:proofErr w:type="spellStart"/>
      <w:r>
        <w:rPr>
          <w:rFonts w:ascii="Verdana" w:hAnsi="Verdana"/>
          <w:lang w:val="it-IT"/>
        </w:rPr>
        <w:t>Battini</w:t>
      </w:r>
      <w:proofErr w:type="spellEnd"/>
      <w:r>
        <w:rPr>
          <w:rFonts w:ascii="Verdana" w:hAnsi="Verdana"/>
          <w:lang w:val="it-IT"/>
        </w:rPr>
        <w:t>, L. Casini e C. Vitale, UTET, 2012.</w:t>
      </w:r>
    </w:p>
    <w:p w:rsidR="00E83FDB" w:rsidRDefault="00E83FDB"/>
    <w:sectPr w:rsidR="00E83FDB" w:rsidSect="00E83F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51850"/>
    <w:multiLevelType w:val="hybridMultilevel"/>
    <w:tmpl w:val="C170A0E6"/>
    <w:lvl w:ilvl="0" w:tplc="01C08D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/>
  <w:defaultTabStop w:val="708"/>
  <w:hyphenationZone w:val="283"/>
  <w:characterSpacingControl w:val="doNotCompress"/>
  <w:compat/>
  <w:rsids>
    <w:rsidRoot w:val="005B7132"/>
    <w:rsid w:val="004F00E3"/>
    <w:rsid w:val="005B7132"/>
    <w:rsid w:val="00E83FDB"/>
    <w:rsid w:val="00F36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64A4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F364A4"/>
    <w:pPr>
      <w:keepNext/>
      <w:framePr w:hSpace="141" w:wrap="around" w:vAnchor="text" w:hAnchor="margin" w:y="487"/>
      <w:suppressOverlap/>
      <w:jc w:val="right"/>
      <w:outlineLvl w:val="0"/>
    </w:pPr>
    <w:rPr>
      <w:rFonts w:ascii="Arial" w:hAnsi="Arial" w:cs="Arial"/>
      <w:b/>
      <w:color w:val="000000"/>
      <w:sz w:val="18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F364A4"/>
    <w:pPr>
      <w:keepNext/>
      <w:outlineLvl w:val="1"/>
    </w:pPr>
    <w:rPr>
      <w:rFonts w:ascii="Arial" w:hAnsi="Arial" w:cs="Arial"/>
      <w:b/>
      <w:color w:val="000000"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364A4"/>
    <w:rPr>
      <w:rFonts w:ascii="Arial" w:hAnsi="Arial" w:cs="Arial"/>
      <w:b/>
      <w:color w:val="000000"/>
      <w:sz w:val="18"/>
      <w:lang w:eastAsia="en-US"/>
    </w:rPr>
  </w:style>
  <w:style w:type="character" w:customStyle="1" w:styleId="Titolo2Carattere">
    <w:name w:val="Titolo 2 Carattere"/>
    <w:basedOn w:val="Carpredefinitoparagrafo"/>
    <w:link w:val="Titolo2"/>
    <w:rsid w:val="00F364A4"/>
    <w:rPr>
      <w:rFonts w:ascii="Arial" w:hAnsi="Arial" w:cs="Arial"/>
      <w:b/>
      <w:color w:val="000000"/>
      <w:sz w:val="18"/>
      <w:lang w:eastAsia="en-US"/>
    </w:rPr>
  </w:style>
  <w:style w:type="paragraph" w:styleId="Nessunaspaziatura">
    <w:name w:val="No Spacing"/>
    <w:qFormat/>
    <w:rsid w:val="00F364A4"/>
    <w:rPr>
      <w:sz w:val="22"/>
      <w:szCs w:val="22"/>
      <w:lang w:eastAsia="en-US"/>
    </w:rPr>
  </w:style>
  <w:style w:type="paragraph" w:customStyle="1" w:styleId="Aaoeeu">
    <w:name w:val="Aaoeeu"/>
    <w:rsid w:val="005B7132"/>
    <w:pPr>
      <w:widowControl w:val="0"/>
    </w:pPr>
    <w:rPr>
      <w:rFonts w:ascii="Times New Roman" w:eastAsia="Times New Roman" w:hAnsi="Times New Roman"/>
      <w:lang w:val="en-US" w:eastAsia="en-US"/>
    </w:rPr>
  </w:style>
  <w:style w:type="character" w:styleId="Collegamentoipertestuale">
    <w:name w:val="Hyperlink"/>
    <w:rsid w:val="005B71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servatorioai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uspublicum.com" TargetMode="External"/><Relationship Id="rId5" Type="http://schemas.openxmlformats.org/officeDocument/2006/relationships/hyperlink" Target="http://www.ius-publicum.com/repository/uploads/08_05_2012_22_27_Torchia_Cavalieri_IT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758</Words>
  <Characters>4324</Characters>
  <Application>Microsoft Office Word</Application>
  <DocSecurity>0</DocSecurity>
  <Lines>36</Lines>
  <Paragraphs>10</Paragraphs>
  <ScaleCrop>false</ScaleCrop>
  <Company/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Luigi</cp:lastModifiedBy>
  <cp:revision>1</cp:revision>
  <dcterms:created xsi:type="dcterms:W3CDTF">2013-03-22T11:28:00Z</dcterms:created>
  <dcterms:modified xsi:type="dcterms:W3CDTF">2013-03-22T11:30:00Z</dcterms:modified>
</cp:coreProperties>
</file>