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758EA" w14:textId="77777777" w:rsidR="00B27AAF" w:rsidRPr="00B27AAF" w:rsidRDefault="00B27AAF" w:rsidP="00B27AAF">
      <w:pPr>
        <w:spacing w:line="360" w:lineRule="auto"/>
        <w:jc w:val="center"/>
        <w:rPr>
          <w:bCs/>
          <w:lang w:val="it-IT"/>
        </w:rPr>
      </w:pPr>
      <w:bookmarkStart w:id="0" w:name="_GoBack"/>
      <w:bookmarkEnd w:id="0"/>
      <w:r w:rsidRPr="00B27AAF">
        <w:rPr>
          <w:bCs/>
          <w:lang w:val="it-IT"/>
        </w:rPr>
        <w:t>Pubblicazioni</w:t>
      </w:r>
      <w:r>
        <w:rPr>
          <w:bCs/>
          <w:lang w:val="it-IT"/>
        </w:rPr>
        <w:t xml:space="preserve"> – Sveva Del Gatto</w:t>
      </w:r>
    </w:p>
    <w:p w14:paraId="570AE83E" w14:textId="77777777" w:rsidR="00B27AAF" w:rsidRPr="00C71F08" w:rsidRDefault="00B27AAF" w:rsidP="00B27AAF">
      <w:pPr>
        <w:widowControl w:val="0"/>
        <w:spacing w:after="200"/>
        <w:ind w:left="360"/>
        <w:jc w:val="both"/>
        <w:rPr>
          <w:lang w:val="it-IT"/>
        </w:rPr>
      </w:pPr>
    </w:p>
    <w:p w14:paraId="587C6731" w14:textId="77777777" w:rsidR="00B27AAF" w:rsidRDefault="00B27AAF" w:rsidP="00B27AAF">
      <w:pPr>
        <w:widowControl w:val="0"/>
        <w:spacing w:after="200"/>
        <w:jc w:val="both"/>
        <w:rPr>
          <w:lang w:val="it-IT"/>
        </w:rPr>
      </w:pPr>
      <w:proofErr w:type="gramStart"/>
      <w:r w:rsidRPr="00CB2585">
        <w:rPr>
          <w:i/>
          <w:lang w:val="it-IT"/>
        </w:rPr>
        <w:t>“Il metodo aperto di coordinamento</w:t>
      </w:r>
      <w:proofErr w:type="gramEnd"/>
      <w:r w:rsidRPr="00CB2585">
        <w:rPr>
          <w:i/>
          <w:lang w:val="it-IT"/>
        </w:rPr>
        <w:t xml:space="preserve">. </w:t>
      </w:r>
      <w:proofErr w:type="gramStart"/>
      <w:r>
        <w:rPr>
          <w:i/>
          <w:lang w:val="it-IT"/>
        </w:rPr>
        <w:t>Amministrazioni nazionali e amministrazione</w:t>
      </w:r>
      <w:r w:rsidRPr="00FB4522">
        <w:rPr>
          <w:i/>
          <w:lang w:val="it-IT"/>
        </w:rPr>
        <w:t xml:space="preserve"> </w:t>
      </w:r>
      <w:r>
        <w:rPr>
          <w:i/>
          <w:lang w:val="it-IT"/>
        </w:rPr>
        <w:t>europea</w:t>
      </w:r>
      <w:r w:rsidRPr="00CB2585">
        <w:rPr>
          <w:i/>
          <w:lang w:val="it-IT"/>
        </w:rPr>
        <w:t xml:space="preserve">”, </w:t>
      </w:r>
      <w:r>
        <w:rPr>
          <w:lang w:val="it-IT"/>
        </w:rPr>
        <w:t>Napoli</w:t>
      </w:r>
      <w:r w:rsidRPr="00CB2585">
        <w:rPr>
          <w:lang w:val="it-IT"/>
        </w:rPr>
        <w:t xml:space="preserve">, </w:t>
      </w:r>
      <w:proofErr w:type="spellStart"/>
      <w:r>
        <w:rPr>
          <w:lang w:val="it-IT"/>
        </w:rPr>
        <w:t>Jovene</w:t>
      </w:r>
      <w:proofErr w:type="spellEnd"/>
      <w:r>
        <w:rPr>
          <w:lang w:val="it-IT"/>
        </w:rPr>
        <w:t>, 2012</w:t>
      </w:r>
      <w:proofErr w:type="gramEnd"/>
    </w:p>
    <w:p w14:paraId="378FA662" w14:textId="77777777" w:rsidR="00B27AAF" w:rsidRPr="0098653B" w:rsidRDefault="00B27AAF" w:rsidP="00B27AAF">
      <w:pPr>
        <w:widowControl w:val="0"/>
        <w:spacing w:after="200"/>
        <w:jc w:val="both"/>
        <w:rPr>
          <w:lang w:val="it-IT"/>
        </w:rPr>
      </w:pPr>
      <w:r w:rsidRPr="0098653B">
        <w:rPr>
          <w:lang w:val="it-IT"/>
        </w:rPr>
        <w:t xml:space="preserve">S. Del Gatto, S. </w:t>
      </w:r>
      <w:proofErr w:type="spellStart"/>
      <w:r w:rsidRPr="0098653B">
        <w:rPr>
          <w:lang w:val="it-IT"/>
        </w:rPr>
        <w:t>Screpanti</w:t>
      </w:r>
      <w:proofErr w:type="spellEnd"/>
      <w:r w:rsidRPr="0098653B">
        <w:rPr>
          <w:lang w:val="it-IT"/>
        </w:rPr>
        <w:t xml:space="preserve">, D. </w:t>
      </w:r>
      <w:proofErr w:type="spellStart"/>
      <w:r w:rsidRPr="0098653B">
        <w:rPr>
          <w:lang w:val="it-IT"/>
        </w:rPr>
        <w:t>Agus</w:t>
      </w:r>
      <w:proofErr w:type="spellEnd"/>
      <w:r w:rsidRPr="0098653B">
        <w:rPr>
          <w:lang w:val="it-IT"/>
        </w:rPr>
        <w:t xml:space="preserve">, </w:t>
      </w:r>
      <w:r w:rsidRPr="0098653B">
        <w:rPr>
          <w:i/>
          <w:lang w:val="it-IT"/>
        </w:rPr>
        <w:t xml:space="preserve">“Il capitalismo municipale”, </w:t>
      </w:r>
      <w:r w:rsidRPr="0098653B">
        <w:rPr>
          <w:lang w:val="it-IT"/>
        </w:rPr>
        <w:t>in corso di pubblicazione con ES.</w:t>
      </w:r>
    </w:p>
    <w:p w14:paraId="1CEEC071" w14:textId="77777777" w:rsidR="00B27AAF" w:rsidRPr="00CB2585" w:rsidRDefault="00B27AAF" w:rsidP="00B27AAF">
      <w:pPr>
        <w:widowControl w:val="0"/>
        <w:spacing w:after="200"/>
        <w:jc w:val="both"/>
        <w:rPr>
          <w:lang w:val="it-IT"/>
        </w:rPr>
      </w:pPr>
      <w:proofErr w:type="gramStart"/>
      <w:r w:rsidRPr="00CB2585">
        <w:rPr>
          <w:lang w:val="it-IT"/>
        </w:rPr>
        <w:t>“</w:t>
      </w:r>
      <w:r w:rsidRPr="00CB2585">
        <w:rPr>
          <w:i/>
          <w:iCs/>
          <w:lang w:val="it-IT"/>
        </w:rPr>
        <w:t>Gli enti non profit e la disciplina antitrust</w:t>
      </w:r>
      <w:r>
        <w:rPr>
          <w:lang w:val="it-IT"/>
        </w:rPr>
        <w:t xml:space="preserve">”, Roma, </w:t>
      </w:r>
      <w:proofErr w:type="spellStart"/>
      <w:r>
        <w:rPr>
          <w:lang w:val="it-IT"/>
        </w:rPr>
        <w:t>Aracne</w:t>
      </w:r>
      <w:proofErr w:type="spellEnd"/>
      <w:r>
        <w:rPr>
          <w:lang w:val="it-IT"/>
        </w:rPr>
        <w:t xml:space="preserve"> Editrice, 2006</w:t>
      </w:r>
      <w:proofErr w:type="gramEnd"/>
    </w:p>
    <w:p w14:paraId="0E59636E" w14:textId="77777777" w:rsidR="00B27AAF" w:rsidRDefault="00B27AAF" w:rsidP="00B27AAF">
      <w:pPr>
        <w:spacing w:after="120"/>
        <w:jc w:val="both"/>
        <w:rPr>
          <w:b/>
          <w:bCs/>
          <w:smallCaps/>
          <w:lang w:val="it-IT"/>
        </w:rPr>
      </w:pPr>
    </w:p>
    <w:p w14:paraId="1648252A" w14:textId="77777777" w:rsidR="00B27AAF" w:rsidRPr="00CB2585" w:rsidRDefault="00B27AAF" w:rsidP="00B27AAF">
      <w:pPr>
        <w:pStyle w:val="Titolo2"/>
        <w:ind w:left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Contributi in o</w:t>
      </w:r>
      <w:r w:rsidRPr="00CB2585">
        <w:rPr>
          <w:rFonts w:ascii="Times New Roman" w:hAnsi="Times New Roman"/>
          <w:i w:val="0"/>
        </w:rPr>
        <w:t>pere collettanee</w:t>
      </w:r>
      <w:r>
        <w:rPr>
          <w:rFonts w:ascii="Times New Roman" w:hAnsi="Times New Roman"/>
          <w:i w:val="0"/>
        </w:rPr>
        <w:t>:</w:t>
      </w:r>
    </w:p>
    <w:p w14:paraId="68C68A8E" w14:textId="77777777" w:rsidR="00B27AAF" w:rsidRPr="00CB2585" w:rsidRDefault="00B27AAF" w:rsidP="00B27AAF">
      <w:pPr>
        <w:spacing w:line="360" w:lineRule="auto"/>
        <w:jc w:val="both"/>
        <w:rPr>
          <w:i/>
          <w:iCs/>
          <w:lang w:val="it-IT"/>
        </w:rPr>
      </w:pPr>
    </w:p>
    <w:p w14:paraId="23BE62AC" w14:textId="77777777" w:rsidR="00B27AAF" w:rsidRPr="0098653B" w:rsidRDefault="00B27AAF" w:rsidP="00B27AAF">
      <w:pPr>
        <w:widowControl w:val="0"/>
        <w:spacing w:after="200"/>
        <w:jc w:val="both"/>
        <w:rPr>
          <w:lang w:val="it-IT"/>
        </w:rPr>
      </w:pPr>
      <w:r>
        <w:rPr>
          <w:i/>
          <w:lang w:val="it-IT"/>
        </w:rPr>
        <w:t xml:space="preserve">Il riparto di giurisdizione in materia di pubblico impiego. </w:t>
      </w:r>
      <w:proofErr w:type="gramStart"/>
      <w:r>
        <w:rPr>
          <w:i/>
          <w:lang w:val="it-IT"/>
        </w:rPr>
        <w:t xml:space="preserve">Sull’incerta (e variabile) nozione di «procedure concorsuali», </w:t>
      </w:r>
      <w:r>
        <w:rPr>
          <w:lang w:val="it-IT"/>
        </w:rPr>
        <w:t xml:space="preserve">in S. Del Gatto, F. </w:t>
      </w:r>
      <w:proofErr w:type="spellStart"/>
      <w:r>
        <w:rPr>
          <w:lang w:val="it-IT"/>
        </w:rPr>
        <w:t>Dinelli</w:t>
      </w:r>
      <w:proofErr w:type="spellEnd"/>
      <w:r>
        <w:rPr>
          <w:lang w:val="it-IT"/>
        </w:rPr>
        <w:t xml:space="preserve">, G. </w:t>
      </w:r>
      <w:proofErr w:type="spellStart"/>
      <w:r>
        <w:rPr>
          <w:lang w:val="it-IT"/>
        </w:rPr>
        <w:t>Fares</w:t>
      </w:r>
      <w:proofErr w:type="spellEnd"/>
      <w:r>
        <w:rPr>
          <w:lang w:val="it-IT"/>
        </w:rPr>
        <w:t xml:space="preserve">, G. Mari, M. </w:t>
      </w:r>
      <w:proofErr w:type="spellStart"/>
      <w:r>
        <w:rPr>
          <w:lang w:val="it-IT"/>
        </w:rPr>
        <w:t>Sinisi</w:t>
      </w:r>
      <w:proofErr w:type="spellEnd"/>
      <w:r>
        <w:rPr>
          <w:lang w:val="it-IT"/>
        </w:rPr>
        <w:t xml:space="preserve">, </w:t>
      </w:r>
      <w:r>
        <w:rPr>
          <w:i/>
          <w:lang w:val="it-IT"/>
        </w:rPr>
        <w:t xml:space="preserve">Problematiche del </w:t>
      </w:r>
      <w:proofErr w:type="gramEnd"/>
      <w:r>
        <w:rPr>
          <w:i/>
          <w:lang w:val="it-IT"/>
        </w:rPr>
        <w:t xml:space="preserve">riparto di giurisdizione dopo il codice del processo amministrativo, </w:t>
      </w:r>
      <w:proofErr w:type="spellStart"/>
      <w:r>
        <w:rPr>
          <w:lang w:val="it-IT"/>
        </w:rPr>
        <w:t>Jovene</w:t>
      </w:r>
      <w:proofErr w:type="spellEnd"/>
      <w:r>
        <w:rPr>
          <w:lang w:val="it-IT"/>
        </w:rPr>
        <w:t>, 2013</w:t>
      </w:r>
    </w:p>
    <w:p w14:paraId="59DC2857" w14:textId="77777777" w:rsidR="00B27AAF" w:rsidRPr="00CB2585" w:rsidRDefault="00B27AAF" w:rsidP="00B27AAF">
      <w:pPr>
        <w:widowControl w:val="0"/>
        <w:spacing w:after="200"/>
        <w:jc w:val="both"/>
        <w:rPr>
          <w:lang w:val="it-IT"/>
        </w:rPr>
      </w:pPr>
      <w:proofErr w:type="gramStart"/>
      <w:r w:rsidRPr="00CB2585">
        <w:rPr>
          <w:i/>
          <w:lang w:val="it-IT"/>
        </w:rPr>
        <w:t xml:space="preserve">“Gli studi giuridici”, </w:t>
      </w:r>
      <w:r w:rsidRPr="00CB2585">
        <w:rPr>
          <w:lang w:val="it-IT"/>
        </w:rPr>
        <w:t xml:space="preserve">in G. </w:t>
      </w:r>
      <w:proofErr w:type="spellStart"/>
      <w:r w:rsidRPr="00CB2585">
        <w:rPr>
          <w:lang w:val="it-IT"/>
        </w:rPr>
        <w:t>Vesperini</w:t>
      </w:r>
      <w:proofErr w:type="spellEnd"/>
      <w:r w:rsidRPr="00CB2585">
        <w:rPr>
          <w:lang w:val="it-IT"/>
        </w:rPr>
        <w:t xml:space="preserve"> (a cura di), </w:t>
      </w:r>
      <w:r w:rsidRPr="00CB2585">
        <w:rPr>
          <w:i/>
          <w:lang w:val="it-IT"/>
        </w:rPr>
        <w:t xml:space="preserve">Studiare a giurisprudenza, </w:t>
      </w:r>
      <w:r w:rsidRPr="00CB2585">
        <w:rPr>
          <w:lang w:val="it-IT"/>
        </w:rPr>
        <w:t>Il Mulino, Bologna, 2011.</w:t>
      </w:r>
      <w:proofErr w:type="gramEnd"/>
    </w:p>
    <w:p w14:paraId="6E0472DC" w14:textId="77777777" w:rsidR="00B27AAF" w:rsidRPr="00CB2585" w:rsidRDefault="00B27AAF" w:rsidP="00B27AAF">
      <w:pPr>
        <w:widowControl w:val="0"/>
        <w:spacing w:after="200"/>
        <w:jc w:val="both"/>
        <w:rPr>
          <w:lang w:val="it-IT"/>
        </w:rPr>
      </w:pPr>
      <w:proofErr w:type="gramStart"/>
      <w:r w:rsidRPr="00CB2585">
        <w:rPr>
          <w:i/>
          <w:lang w:val="it-IT"/>
        </w:rPr>
        <w:t xml:space="preserve">“L’uso di strumenti privatistici da parte delle pubbliche amministrazioni: organismo di diritto pubblico, società pubbliche e “in house </w:t>
      </w:r>
      <w:proofErr w:type="spellStart"/>
      <w:r w:rsidRPr="00CB2585">
        <w:rPr>
          <w:i/>
          <w:lang w:val="it-IT"/>
        </w:rPr>
        <w:t>providing</w:t>
      </w:r>
      <w:proofErr w:type="spellEnd"/>
      <w:r w:rsidRPr="00CB2585">
        <w:rPr>
          <w:i/>
          <w:lang w:val="it-IT"/>
        </w:rPr>
        <w:t xml:space="preserve">”, </w:t>
      </w:r>
      <w:r w:rsidRPr="00CB2585">
        <w:rPr>
          <w:lang w:val="it-IT"/>
        </w:rPr>
        <w:t xml:space="preserve">in Luisa Torchia, </w:t>
      </w:r>
      <w:r w:rsidRPr="00CB2585">
        <w:rPr>
          <w:i/>
          <w:lang w:val="it-IT"/>
        </w:rPr>
        <w:t xml:space="preserve">Lezioni di diritto progredito, </w:t>
      </w:r>
      <w:r>
        <w:rPr>
          <w:lang w:val="it-IT"/>
        </w:rPr>
        <w:t>Il Mulino, Bologna, 2012</w:t>
      </w:r>
      <w:r>
        <w:rPr>
          <w:vertAlign w:val="superscript"/>
          <w:lang w:val="it-IT"/>
        </w:rPr>
        <w:t>2</w:t>
      </w:r>
      <w:proofErr w:type="gramEnd"/>
    </w:p>
    <w:p w14:paraId="3BB75949" w14:textId="77777777" w:rsidR="00B27AAF" w:rsidRPr="00CB2585" w:rsidRDefault="00B27AAF" w:rsidP="00B27AAF">
      <w:pPr>
        <w:widowControl w:val="0"/>
        <w:spacing w:after="200"/>
        <w:jc w:val="both"/>
        <w:rPr>
          <w:lang w:val="it-IT"/>
        </w:rPr>
      </w:pPr>
      <w:proofErr w:type="gramStart"/>
      <w:r w:rsidRPr="00CB2585">
        <w:rPr>
          <w:lang w:val="it-IT"/>
        </w:rPr>
        <w:t xml:space="preserve">Sveva Del Gatto, Paolo </w:t>
      </w:r>
      <w:proofErr w:type="spellStart"/>
      <w:r w:rsidRPr="00CB2585">
        <w:rPr>
          <w:lang w:val="it-IT"/>
        </w:rPr>
        <w:t>Clarizia</w:t>
      </w:r>
      <w:proofErr w:type="spellEnd"/>
      <w:r w:rsidRPr="00CB2585">
        <w:rPr>
          <w:lang w:val="it-IT"/>
        </w:rPr>
        <w:t xml:space="preserve">, </w:t>
      </w:r>
      <w:r w:rsidRPr="00CB2585">
        <w:rPr>
          <w:i/>
          <w:lang w:val="it-IT"/>
        </w:rPr>
        <w:t xml:space="preserve">“I procedimenti di regolazione davanti alle autorità indipendenti”, </w:t>
      </w:r>
      <w:r w:rsidRPr="00CB2585">
        <w:rPr>
          <w:lang w:val="it-IT"/>
        </w:rPr>
        <w:t xml:space="preserve">in Luisa Torchia, </w:t>
      </w:r>
      <w:r w:rsidRPr="00CB2585">
        <w:rPr>
          <w:i/>
          <w:lang w:val="it-IT"/>
        </w:rPr>
        <w:t>Lezioni di diritto pr</w:t>
      </w:r>
      <w:proofErr w:type="gramEnd"/>
      <w:r w:rsidRPr="00CB2585">
        <w:rPr>
          <w:i/>
          <w:lang w:val="it-IT"/>
        </w:rPr>
        <w:t xml:space="preserve">ogredito, </w:t>
      </w:r>
      <w:r>
        <w:rPr>
          <w:lang w:val="it-IT"/>
        </w:rPr>
        <w:t>Il Mulino, Bologna, 2012</w:t>
      </w:r>
      <w:r>
        <w:rPr>
          <w:vertAlign w:val="superscript"/>
          <w:lang w:val="it-IT"/>
        </w:rPr>
        <w:t>2</w:t>
      </w:r>
    </w:p>
    <w:p w14:paraId="03E906A3" w14:textId="77777777" w:rsidR="00B27AAF" w:rsidRPr="00CB2585" w:rsidRDefault="00B27AAF" w:rsidP="00B27AAF">
      <w:pPr>
        <w:widowControl w:val="0"/>
        <w:spacing w:after="200"/>
        <w:jc w:val="both"/>
        <w:rPr>
          <w:lang w:val="it-IT"/>
        </w:rPr>
      </w:pPr>
      <w:proofErr w:type="gramStart"/>
      <w:r w:rsidRPr="00CB2585">
        <w:rPr>
          <w:i/>
          <w:lang w:val="it-IT"/>
        </w:rPr>
        <w:t>“La comparazione giuridica nell’opera di Massimo Severo Giannini”</w:t>
      </w:r>
      <w:r w:rsidRPr="00CB2585">
        <w:rPr>
          <w:lang w:val="it-IT"/>
        </w:rPr>
        <w:t>, in L.</w:t>
      </w:r>
      <w:r>
        <w:rPr>
          <w:lang w:val="it-IT"/>
        </w:rPr>
        <w:t xml:space="preserve"> </w:t>
      </w:r>
      <w:r w:rsidRPr="00CB2585">
        <w:rPr>
          <w:lang w:val="it-IT"/>
        </w:rPr>
        <w:t xml:space="preserve">Torchia, E. Chiti, R. </w:t>
      </w:r>
      <w:proofErr w:type="spellStart"/>
      <w:r w:rsidRPr="00CB2585">
        <w:rPr>
          <w:lang w:val="it-IT"/>
        </w:rPr>
        <w:t>Perez</w:t>
      </w:r>
      <w:proofErr w:type="spellEnd"/>
      <w:r w:rsidRPr="00CB2585">
        <w:rPr>
          <w:lang w:val="it-IT"/>
        </w:rPr>
        <w:t xml:space="preserve">, A. </w:t>
      </w:r>
      <w:proofErr w:type="spellStart"/>
      <w:r w:rsidRPr="00CB2585">
        <w:rPr>
          <w:lang w:val="it-IT"/>
        </w:rPr>
        <w:t>Sandulli</w:t>
      </w:r>
      <w:proofErr w:type="spellEnd"/>
      <w:r w:rsidRPr="00CB2585">
        <w:rPr>
          <w:lang w:val="it-IT"/>
        </w:rPr>
        <w:t xml:space="preserve"> (a cura di), </w:t>
      </w:r>
      <w:r w:rsidRPr="00CB2585">
        <w:rPr>
          <w:i/>
          <w:iCs/>
          <w:lang w:val="it-IT"/>
        </w:rPr>
        <w:t>La scienza de</w:t>
      </w:r>
      <w:proofErr w:type="gramEnd"/>
      <w:r w:rsidRPr="00CB2585">
        <w:rPr>
          <w:i/>
          <w:iCs/>
          <w:lang w:val="it-IT"/>
        </w:rPr>
        <w:t xml:space="preserve">l diritto amministrativo nella seconda metà del XX </w:t>
      </w:r>
      <w:proofErr w:type="gramStart"/>
      <w:r w:rsidRPr="00CB2585">
        <w:rPr>
          <w:i/>
          <w:iCs/>
          <w:lang w:val="it-IT"/>
        </w:rPr>
        <w:t>secolo</w:t>
      </w:r>
      <w:proofErr w:type="gramEnd"/>
      <w:r w:rsidRPr="00CB2585">
        <w:rPr>
          <w:lang w:val="it-IT"/>
        </w:rPr>
        <w:t>, Napoli, Editoriale scientifica, 20</w:t>
      </w:r>
      <w:r>
        <w:rPr>
          <w:lang w:val="it-IT"/>
        </w:rPr>
        <w:t>08</w:t>
      </w:r>
    </w:p>
    <w:p w14:paraId="1DB048C6" w14:textId="77777777" w:rsidR="00B27AAF" w:rsidRPr="00CB2585" w:rsidRDefault="00B27AAF" w:rsidP="00B27AAF">
      <w:pPr>
        <w:widowControl w:val="0"/>
        <w:spacing w:after="200"/>
        <w:jc w:val="both"/>
        <w:rPr>
          <w:lang w:val="it-IT"/>
        </w:rPr>
      </w:pPr>
      <w:proofErr w:type="gramStart"/>
      <w:r w:rsidRPr="00CB2585">
        <w:rPr>
          <w:lang w:val="it-IT"/>
        </w:rPr>
        <w:t>“</w:t>
      </w:r>
      <w:r w:rsidRPr="00CB2585">
        <w:rPr>
          <w:i/>
          <w:lang w:val="it-IT"/>
        </w:rPr>
        <w:t>La comparazione giuridica nell’opera di Marco D’Alberti</w:t>
      </w:r>
      <w:r>
        <w:rPr>
          <w:i/>
          <w:lang w:val="it-IT"/>
        </w:rPr>
        <w:t>”</w:t>
      </w:r>
      <w:r w:rsidRPr="00CB2585">
        <w:rPr>
          <w:i/>
          <w:lang w:val="it-IT"/>
        </w:rPr>
        <w:t xml:space="preserve">, </w:t>
      </w:r>
      <w:r w:rsidRPr="00CB2585">
        <w:rPr>
          <w:lang w:val="it-IT"/>
        </w:rPr>
        <w:t>in L.</w:t>
      </w:r>
      <w:r>
        <w:rPr>
          <w:lang w:val="it-IT"/>
        </w:rPr>
        <w:t xml:space="preserve"> </w:t>
      </w:r>
      <w:r w:rsidRPr="00CB2585">
        <w:rPr>
          <w:lang w:val="it-IT"/>
        </w:rPr>
        <w:t xml:space="preserve">Torchia, E. Chiti, R. </w:t>
      </w:r>
      <w:proofErr w:type="spellStart"/>
      <w:r w:rsidRPr="00CB2585">
        <w:rPr>
          <w:lang w:val="it-IT"/>
        </w:rPr>
        <w:t>Perez</w:t>
      </w:r>
      <w:proofErr w:type="spellEnd"/>
      <w:r w:rsidRPr="00CB2585">
        <w:rPr>
          <w:lang w:val="it-IT"/>
        </w:rPr>
        <w:t xml:space="preserve">, A. </w:t>
      </w:r>
      <w:proofErr w:type="spellStart"/>
      <w:r w:rsidRPr="00CB2585">
        <w:rPr>
          <w:lang w:val="it-IT"/>
        </w:rPr>
        <w:t>Sandulli</w:t>
      </w:r>
      <w:proofErr w:type="spellEnd"/>
      <w:r w:rsidRPr="00CB2585">
        <w:rPr>
          <w:lang w:val="it-IT"/>
        </w:rPr>
        <w:t xml:space="preserve">, </w:t>
      </w:r>
      <w:r w:rsidRPr="00CB2585">
        <w:rPr>
          <w:i/>
          <w:iCs/>
          <w:lang w:val="it-IT"/>
        </w:rPr>
        <w:t>La scienza del diritto amministra</w:t>
      </w:r>
      <w:proofErr w:type="gramEnd"/>
      <w:r w:rsidRPr="00CB2585">
        <w:rPr>
          <w:i/>
          <w:iCs/>
          <w:lang w:val="it-IT"/>
        </w:rPr>
        <w:t>tivo nella seconda metà del XX secolo</w:t>
      </w:r>
      <w:r w:rsidRPr="00CB2585">
        <w:rPr>
          <w:lang w:val="it-IT"/>
        </w:rPr>
        <w:t>, Napoli, Editoriale scientifica, 2008.</w:t>
      </w:r>
    </w:p>
    <w:p w14:paraId="0EE49831" w14:textId="77777777" w:rsidR="00B27AAF" w:rsidRPr="00CB2585" w:rsidRDefault="00B27AAF" w:rsidP="00B27AAF">
      <w:pPr>
        <w:widowControl w:val="0"/>
        <w:spacing w:after="200"/>
        <w:jc w:val="both"/>
        <w:rPr>
          <w:i/>
          <w:lang w:val="it-IT"/>
        </w:rPr>
      </w:pPr>
      <w:proofErr w:type="gramStart"/>
      <w:r w:rsidRPr="00CB2585">
        <w:rPr>
          <w:lang w:val="it-IT"/>
        </w:rPr>
        <w:t>“</w:t>
      </w:r>
      <w:r w:rsidRPr="00CB2585">
        <w:rPr>
          <w:i/>
          <w:lang w:val="it-IT"/>
        </w:rPr>
        <w:t>Il nuovo regolamento sulle fondazioni bancarie”</w:t>
      </w:r>
      <w:r w:rsidRPr="00CB2585">
        <w:rPr>
          <w:lang w:val="it-IT"/>
        </w:rPr>
        <w:t xml:space="preserve"> in G. Ponzanelli</w:t>
      </w:r>
      <w:r w:rsidRPr="00CB2585">
        <w:rPr>
          <w:smallCaps/>
          <w:lang w:val="it-IT"/>
        </w:rPr>
        <w:t xml:space="preserve"> </w:t>
      </w:r>
      <w:r w:rsidRPr="00CB2585">
        <w:rPr>
          <w:lang w:val="it-IT"/>
        </w:rPr>
        <w:t xml:space="preserve">(a cura di) </w:t>
      </w:r>
      <w:r w:rsidRPr="00CB2585">
        <w:rPr>
          <w:iCs/>
          <w:lang w:val="it-IT"/>
        </w:rPr>
        <w:t>“</w:t>
      </w:r>
      <w:r w:rsidRPr="00CB2585">
        <w:rPr>
          <w:i/>
          <w:lang w:val="it-IT"/>
        </w:rPr>
        <w:t>Le fondazioni bancarie</w:t>
      </w:r>
      <w:r w:rsidRPr="00CB2585">
        <w:rPr>
          <w:lang w:val="it-IT"/>
        </w:rPr>
        <w:t xml:space="preserve">”, Torino, </w:t>
      </w:r>
      <w:proofErr w:type="spellStart"/>
      <w:r w:rsidRPr="00CB2585">
        <w:rPr>
          <w:lang w:val="it-IT"/>
        </w:rPr>
        <w:t>Giappichelli</w:t>
      </w:r>
      <w:proofErr w:type="spellEnd"/>
      <w:r w:rsidRPr="00CB2585">
        <w:rPr>
          <w:lang w:val="it-IT"/>
        </w:rPr>
        <w:t>, 2005.</w:t>
      </w:r>
      <w:proofErr w:type="gramEnd"/>
    </w:p>
    <w:p w14:paraId="72AF557B" w14:textId="77777777" w:rsidR="00B27AAF" w:rsidRPr="00CB2585" w:rsidRDefault="00B27AAF" w:rsidP="00B27AAF">
      <w:pPr>
        <w:widowControl w:val="0"/>
        <w:ind w:left="360"/>
        <w:jc w:val="both"/>
        <w:rPr>
          <w:lang w:val="it-IT"/>
        </w:rPr>
      </w:pPr>
    </w:p>
    <w:p w14:paraId="4B6F4D0A" w14:textId="77777777" w:rsidR="00B27AAF" w:rsidRPr="00D67CE5" w:rsidRDefault="00B27AAF" w:rsidP="00B27AAF">
      <w:pPr>
        <w:widowControl w:val="0"/>
        <w:jc w:val="both"/>
        <w:rPr>
          <w:b/>
          <w:bCs/>
          <w:smallCaps/>
          <w:lang w:val="it-IT"/>
        </w:rPr>
      </w:pPr>
      <w:r w:rsidRPr="00CB2585">
        <w:rPr>
          <w:iCs/>
          <w:lang w:val="it-IT"/>
        </w:rPr>
        <w:t>Saggi, articoli e note a sentenza</w:t>
      </w:r>
      <w:r>
        <w:rPr>
          <w:iCs/>
          <w:lang w:val="it-IT"/>
        </w:rPr>
        <w:t>:</w:t>
      </w:r>
    </w:p>
    <w:p w14:paraId="07EB4E21" w14:textId="77777777" w:rsidR="00B27AAF" w:rsidRPr="00CB2585" w:rsidRDefault="00B27AAF" w:rsidP="00B27AAF">
      <w:pPr>
        <w:widowControl w:val="0"/>
        <w:ind w:left="360"/>
        <w:jc w:val="both"/>
        <w:rPr>
          <w:b/>
          <w:bCs/>
          <w:smallCaps/>
          <w:u w:val="single"/>
          <w:lang w:val="it-IT"/>
        </w:rPr>
      </w:pPr>
    </w:p>
    <w:p w14:paraId="69210521" w14:textId="77777777" w:rsidR="00DB359F" w:rsidRDefault="00DB359F" w:rsidP="00DB359F">
      <w:pPr>
        <w:widowControl w:val="0"/>
        <w:spacing w:after="200"/>
        <w:jc w:val="both"/>
        <w:rPr>
          <w:lang w:val="it-IT"/>
        </w:rPr>
      </w:pPr>
      <w:r>
        <w:rPr>
          <w:i/>
          <w:lang w:val="it-IT"/>
        </w:rPr>
        <w:t xml:space="preserve">“Le società pubbliche e le norme di diritto privato”, </w:t>
      </w:r>
      <w:r>
        <w:rPr>
          <w:lang w:val="it-IT"/>
        </w:rPr>
        <w:t xml:space="preserve">in </w:t>
      </w:r>
      <w:r>
        <w:rPr>
          <w:i/>
          <w:lang w:val="it-IT"/>
        </w:rPr>
        <w:t xml:space="preserve">Giornale di diritto amministrativo, </w:t>
      </w:r>
      <w:proofErr w:type="gramStart"/>
      <w:r>
        <w:rPr>
          <w:lang w:val="it-IT"/>
        </w:rPr>
        <w:t>5</w:t>
      </w:r>
      <w:proofErr w:type="gramEnd"/>
      <w:r>
        <w:rPr>
          <w:lang w:val="it-IT"/>
        </w:rPr>
        <w:t>, 2014.</w:t>
      </w:r>
    </w:p>
    <w:p w14:paraId="32CEA538" w14:textId="77777777" w:rsidR="00B27AAF" w:rsidRDefault="00DB359F" w:rsidP="00DB359F">
      <w:pPr>
        <w:widowControl w:val="0"/>
        <w:spacing w:after="200"/>
        <w:jc w:val="both"/>
        <w:rPr>
          <w:lang w:val="it-IT"/>
        </w:rPr>
      </w:pPr>
      <w:r>
        <w:rPr>
          <w:i/>
          <w:lang w:val="it-IT"/>
        </w:rPr>
        <w:t xml:space="preserve"> </w:t>
      </w:r>
      <w:proofErr w:type="gramStart"/>
      <w:r w:rsidR="00B27AAF">
        <w:rPr>
          <w:i/>
          <w:lang w:val="it-IT"/>
        </w:rPr>
        <w:t>“Sistema “SEC 95” ed elenco ISTAT</w:t>
      </w:r>
      <w:proofErr w:type="gramEnd"/>
      <w:r w:rsidR="00B27AAF">
        <w:rPr>
          <w:i/>
          <w:lang w:val="it-IT"/>
        </w:rPr>
        <w:t xml:space="preserve">. Sull’incerto confine della sfera pubblica”, </w:t>
      </w:r>
      <w:r w:rsidR="00B27AAF">
        <w:rPr>
          <w:lang w:val="it-IT"/>
        </w:rPr>
        <w:t xml:space="preserve">in </w:t>
      </w:r>
      <w:r w:rsidR="00B27AAF">
        <w:rPr>
          <w:i/>
          <w:lang w:val="it-IT"/>
        </w:rPr>
        <w:t xml:space="preserve">Giornale di diritto amministrativo, </w:t>
      </w:r>
      <w:proofErr w:type="gramStart"/>
      <w:r w:rsidR="00B27AAF">
        <w:rPr>
          <w:lang w:val="it-IT"/>
        </w:rPr>
        <w:t>10</w:t>
      </w:r>
      <w:proofErr w:type="gramEnd"/>
      <w:r w:rsidR="00B27AAF">
        <w:rPr>
          <w:lang w:val="it-IT"/>
        </w:rPr>
        <w:t>, 2013, 960 ss.</w:t>
      </w:r>
    </w:p>
    <w:p w14:paraId="3CA53434" w14:textId="77777777" w:rsidR="00B27AAF" w:rsidRPr="00CB2585" w:rsidRDefault="00B27AAF" w:rsidP="00B27AAF">
      <w:pPr>
        <w:widowControl w:val="0"/>
        <w:spacing w:after="200"/>
        <w:jc w:val="both"/>
        <w:rPr>
          <w:lang w:val="it-IT"/>
        </w:rPr>
      </w:pPr>
      <w:r>
        <w:rPr>
          <w:i/>
          <w:lang w:val="it-IT"/>
        </w:rPr>
        <w:t xml:space="preserve">“La natura degli atti di nomina degli amministratori di società partecipate dallo Stato”, </w:t>
      </w:r>
      <w:r>
        <w:rPr>
          <w:lang w:val="it-IT"/>
        </w:rPr>
        <w:t xml:space="preserve">in </w:t>
      </w:r>
      <w:r>
        <w:rPr>
          <w:i/>
          <w:lang w:val="it-IT"/>
        </w:rPr>
        <w:t xml:space="preserve">Giornale di diritto amministrativo, </w:t>
      </w:r>
      <w:proofErr w:type="gramStart"/>
      <w:r w:rsidRPr="0098653B">
        <w:rPr>
          <w:lang w:val="it-IT"/>
        </w:rPr>
        <w:t>6</w:t>
      </w:r>
      <w:proofErr w:type="gramEnd"/>
      <w:r w:rsidRPr="0098653B">
        <w:rPr>
          <w:lang w:val="it-IT"/>
        </w:rPr>
        <w:t>, 2013,</w:t>
      </w:r>
      <w:r>
        <w:rPr>
          <w:i/>
          <w:lang w:val="it-IT"/>
        </w:rPr>
        <w:t xml:space="preserve"> </w:t>
      </w:r>
      <w:r>
        <w:rPr>
          <w:lang w:val="it-IT"/>
        </w:rPr>
        <w:t>613 ss.</w:t>
      </w:r>
    </w:p>
    <w:p w14:paraId="28D08715" w14:textId="77777777" w:rsidR="00B27AAF" w:rsidRPr="00CB2585" w:rsidRDefault="00B27AAF" w:rsidP="00B27AAF">
      <w:pPr>
        <w:widowControl w:val="0"/>
        <w:spacing w:after="200"/>
        <w:jc w:val="both"/>
        <w:rPr>
          <w:lang w:val="it-IT"/>
        </w:rPr>
      </w:pPr>
      <w:r w:rsidRPr="00CB2585">
        <w:rPr>
          <w:i/>
          <w:lang w:val="it-IT"/>
        </w:rPr>
        <w:t xml:space="preserve">“La partecipazione ai procedimenti di regolazione delle Autorità indipendenti”, </w:t>
      </w:r>
      <w:r w:rsidRPr="00CB2585">
        <w:rPr>
          <w:lang w:val="it-IT"/>
        </w:rPr>
        <w:t xml:space="preserve">in </w:t>
      </w:r>
      <w:r w:rsidRPr="00CB2585">
        <w:rPr>
          <w:i/>
          <w:lang w:val="it-IT"/>
        </w:rPr>
        <w:t xml:space="preserve">Giornale di diritto amministrativo, </w:t>
      </w:r>
      <w:proofErr w:type="gramStart"/>
      <w:r w:rsidRPr="00CB2585">
        <w:rPr>
          <w:lang w:val="it-IT"/>
        </w:rPr>
        <w:t>9</w:t>
      </w:r>
      <w:proofErr w:type="gramEnd"/>
      <w:r w:rsidRPr="00CB2585">
        <w:rPr>
          <w:lang w:val="it-IT"/>
        </w:rPr>
        <w:t>, 2010, 947 ss.</w:t>
      </w:r>
    </w:p>
    <w:p w14:paraId="62DB0273" w14:textId="77777777" w:rsidR="00B27AAF" w:rsidRPr="00CB2585" w:rsidRDefault="00B27AAF" w:rsidP="00B27AAF">
      <w:pPr>
        <w:widowControl w:val="0"/>
        <w:spacing w:after="200"/>
        <w:jc w:val="both"/>
        <w:rPr>
          <w:lang w:val="it-IT"/>
        </w:rPr>
      </w:pPr>
      <w:proofErr w:type="gramStart"/>
      <w:r w:rsidRPr="00CB2585">
        <w:rPr>
          <w:lang w:val="it-IT"/>
        </w:rPr>
        <w:t>“</w:t>
      </w:r>
      <w:r w:rsidRPr="00CB2585">
        <w:rPr>
          <w:i/>
          <w:iCs/>
          <w:lang w:val="it-IT"/>
        </w:rPr>
        <w:t>La privatizzazione degli enti pubblici non economici e il mutato rapporto pubblico – privato anche alla luce della riforma dell’art</w:t>
      </w:r>
      <w:proofErr w:type="gramEnd"/>
      <w:r w:rsidRPr="00CB2585">
        <w:rPr>
          <w:i/>
          <w:iCs/>
          <w:lang w:val="it-IT"/>
        </w:rPr>
        <w:t>. 1 della legge n. 241 del 1990</w:t>
      </w:r>
      <w:r w:rsidRPr="00CB2585">
        <w:rPr>
          <w:lang w:val="it-IT"/>
        </w:rPr>
        <w:t xml:space="preserve">”, in </w:t>
      </w:r>
      <w:r w:rsidRPr="00CB2585">
        <w:rPr>
          <w:i/>
          <w:iCs/>
          <w:lang w:val="it-IT"/>
        </w:rPr>
        <w:t xml:space="preserve">Servizi pubblici e appalti, </w:t>
      </w:r>
      <w:proofErr w:type="gramStart"/>
      <w:r w:rsidRPr="00CB2585">
        <w:rPr>
          <w:iCs/>
          <w:lang w:val="it-IT"/>
        </w:rPr>
        <w:t>1</w:t>
      </w:r>
      <w:proofErr w:type="gramEnd"/>
      <w:r w:rsidRPr="00CB2585">
        <w:rPr>
          <w:iCs/>
          <w:lang w:val="it-IT"/>
        </w:rPr>
        <w:t>,</w:t>
      </w:r>
      <w:r w:rsidRPr="00CB2585">
        <w:rPr>
          <w:i/>
          <w:iCs/>
          <w:lang w:val="it-IT"/>
        </w:rPr>
        <w:t xml:space="preserve"> </w:t>
      </w:r>
      <w:r w:rsidRPr="00CB2585">
        <w:rPr>
          <w:lang w:val="it-IT"/>
        </w:rPr>
        <w:lastRenderedPageBreak/>
        <w:t>2006.</w:t>
      </w:r>
    </w:p>
    <w:p w14:paraId="06F9DD1B" w14:textId="77777777" w:rsidR="00B27AAF" w:rsidRPr="00CB2585" w:rsidRDefault="00B27AAF" w:rsidP="00B27AAF">
      <w:pPr>
        <w:widowControl w:val="0"/>
        <w:spacing w:after="200"/>
        <w:jc w:val="both"/>
        <w:rPr>
          <w:lang w:val="it-IT"/>
        </w:rPr>
      </w:pPr>
      <w:proofErr w:type="gramStart"/>
      <w:r w:rsidRPr="00CB2585">
        <w:rPr>
          <w:lang w:val="it-IT"/>
        </w:rPr>
        <w:t>“</w:t>
      </w:r>
      <w:r w:rsidRPr="00CB2585">
        <w:rPr>
          <w:i/>
          <w:lang w:val="it-IT"/>
        </w:rPr>
        <w:t>Natura privata e «sostanza pubblica»</w:t>
      </w:r>
      <w:proofErr w:type="gramEnd"/>
      <w:r w:rsidRPr="00CB2585">
        <w:rPr>
          <w:i/>
          <w:lang w:val="it-IT"/>
        </w:rPr>
        <w:t xml:space="preserve">? </w:t>
      </w:r>
      <w:proofErr w:type="gramStart"/>
      <w:r w:rsidRPr="00CB2585">
        <w:rPr>
          <w:i/>
          <w:lang w:val="it-IT"/>
        </w:rPr>
        <w:t xml:space="preserve">Il Consiglio di Stato torna a pubblicizzare un ente privatizzato </w:t>
      </w:r>
      <w:proofErr w:type="spellStart"/>
      <w:r w:rsidRPr="00CB2585">
        <w:rPr>
          <w:i/>
          <w:lang w:val="it-IT"/>
        </w:rPr>
        <w:t>ope</w:t>
      </w:r>
      <w:proofErr w:type="spellEnd"/>
      <w:r w:rsidRPr="00CB2585">
        <w:rPr>
          <w:i/>
          <w:lang w:val="it-IT"/>
        </w:rPr>
        <w:t xml:space="preserve"> </w:t>
      </w:r>
      <w:proofErr w:type="spellStart"/>
      <w:r w:rsidRPr="00CB2585">
        <w:rPr>
          <w:i/>
          <w:lang w:val="it-IT"/>
        </w:rPr>
        <w:t>legis</w:t>
      </w:r>
      <w:proofErr w:type="spellEnd"/>
      <w:r w:rsidRPr="00CB2585">
        <w:rPr>
          <w:lang w:val="it-IT"/>
        </w:rPr>
        <w:t xml:space="preserve">”, in </w:t>
      </w:r>
      <w:r w:rsidRPr="00CB2585">
        <w:rPr>
          <w:i/>
          <w:lang w:val="it-IT"/>
        </w:rPr>
        <w:t xml:space="preserve">Foro Amm., </w:t>
      </w:r>
      <w:proofErr w:type="spellStart"/>
      <w:r w:rsidRPr="00CB2585">
        <w:rPr>
          <w:i/>
          <w:lang w:val="it-IT"/>
        </w:rPr>
        <w:t>CdS</w:t>
      </w:r>
      <w:proofErr w:type="spellEnd"/>
      <w:r w:rsidRPr="00CB2585">
        <w:rPr>
          <w:i/>
          <w:lang w:val="it-IT"/>
        </w:rPr>
        <w:t xml:space="preserve">., </w:t>
      </w:r>
      <w:r w:rsidRPr="00CB2585">
        <w:rPr>
          <w:lang w:val="it-IT"/>
        </w:rPr>
        <w:t>2, 2006</w:t>
      </w:r>
      <w:proofErr w:type="gramEnd"/>
      <w:r w:rsidRPr="00CB2585">
        <w:rPr>
          <w:lang w:val="it-IT"/>
        </w:rPr>
        <w:t xml:space="preserve">. </w:t>
      </w:r>
    </w:p>
    <w:p w14:paraId="3AA41ACB" w14:textId="77777777" w:rsidR="00B27AAF" w:rsidRPr="00CB2585" w:rsidRDefault="00B27AAF" w:rsidP="00B27AAF">
      <w:pPr>
        <w:widowControl w:val="0"/>
        <w:spacing w:after="200"/>
        <w:jc w:val="both"/>
        <w:rPr>
          <w:lang w:val="it-IT"/>
        </w:rPr>
      </w:pPr>
      <w:proofErr w:type="gramStart"/>
      <w:r w:rsidRPr="00CB2585">
        <w:rPr>
          <w:lang w:val="it-IT"/>
        </w:rPr>
        <w:t>“</w:t>
      </w:r>
      <w:r w:rsidRPr="00CB2585">
        <w:rPr>
          <w:i/>
          <w:lang w:val="it-IT"/>
        </w:rPr>
        <w:t>Impianti pubblicitari tra interesse pubblico alla sicurezza stradale e interesse privato dell’impresa alla loro gestione</w:t>
      </w:r>
      <w:r w:rsidRPr="00CB2585">
        <w:rPr>
          <w:lang w:val="it-IT"/>
        </w:rPr>
        <w:t xml:space="preserve">” in </w:t>
      </w:r>
      <w:r w:rsidRPr="00CB2585">
        <w:rPr>
          <w:i/>
          <w:lang w:val="it-IT"/>
        </w:rPr>
        <w:t>Servizi pubbli</w:t>
      </w:r>
      <w:proofErr w:type="gramEnd"/>
      <w:r w:rsidRPr="00CB2585">
        <w:rPr>
          <w:i/>
          <w:lang w:val="it-IT"/>
        </w:rPr>
        <w:t xml:space="preserve">ci e appalti, </w:t>
      </w:r>
      <w:r w:rsidRPr="00CB2585">
        <w:rPr>
          <w:lang w:val="it-IT"/>
        </w:rPr>
        <w:t>2004.</w:t>
      </w:r>
    </w:p>
    <w:p w14:paraId="44A4AA3F" w14:textId="77777777" w:rsidR="00B27AAF" w:rsidRPr="00CB2585" w:rsidRDefault="00B27AAF" w:rsidP="00B27AAF">
      <w:pPr>
        <w:widowControl w:val="0"/>
        <w:spacing w:after="200"/>
        <w:jc w:val="both"/>
        <w:rPr>
          <w:i/>
          <w:lang w:val="it-IT"/>
        </w:rPr>
      </w:pPr>
      <w:proofErr w:type="gramStart"/>
      <w:r w:rsidRPr="00CB2585">
        <w:rPr>
          <w:lang w:val="it-IT"/>
        </w:rPr>
        <w:t>“</w:t>
      </w:r>
      <w:r w:rsidRPr="00CB2585">
        <w:rPr>
          <w:i/>
          <w:lang w:val="it-IT"/>
        </w:rPr>
        <w:t>Affidamento a privati di locali all’interno di impianti sportivi di proprietà comunale: locazione di immobile o concessione di beni pubblic</w:t>
      </w:r>
      <w:proofErr w:type="gramEnd"/>
      <w:r w:rsidRPr="00CB2585">
        <w:rPr>
          <w:i/>
          <w:lang w:val="it-IT"/>
        </w:rPr>
        <w:t>i?</w:t>
      </w:r>
      <w:r w:rsidRPr="00CB2585">
        <w:rPr>
          <w:lang w:val="it-IT"/>
        </w:rPr>
        <w:t xml:space="preserve">” in </w:t>
      </w:r>
      <w:proofErr w:type="spellStart"/>
      <w:r w:rsidRPr="00CB2585">
        <w:rPr>
          <w:i/>
          <w:lang w:val="it-IT"/>
        </w:rPr>
        <w:t>Riv</w:t>
      </w:r>
      <w:proofErr w:type="spellEnd"/>
      <w:r w:rsidRPr="00CB2585">
        <w:rPr>
          <w:i/>
          <w:lang w:val="it-IT"/>
        </w:rPr>
        <w:t xml:space="preserve">. giur. dell’edilizia, </w:t>
      </w:r>
      <w:r w:rsidRPr="00CB2585">
        <w:rPr>
          <w:lang w:val="it-IT"/>
        </w:rPr>
        <w:t>2003.</w:t>
      </w:r>
    </w:p>
    <w:p w14:paraId="7C241E2E" w14:textId="77777777" w:rsidR="00B27AAF" w:rsidRPr="00CB2585" w:rsidRDefault="00B27AAF" w:rsidP="00B27AAF">
      <w:pPr>
        <w:widowControl w:val="0"/>
        <w:spacing w:after="200"/>
        <w:jc w:val="both"/>
        <w:rPr>
          <w:lang w:val="it-IT"/>
        </w:rPr>
      </w:pPr>
      <w:proofErr w:type="gramStart"/>
      <w:r w:rsidRPr="00CB2585">
        <w:rPr>
          <w:lang w:val="it-IT"/>
        </w:rPr>
        <w:t>“</w:t>
      </w:r>
      <w:r w:rsidRPr="00CB2585">
        <w:rPr>
          <w:i/>
          <w:lang w:val="it-IT"/>
        </w:rPr>
        <w:t>Affidamento di spazi pubblicitari tra appalto pubblico di servizi e concessione di beni pubblici</w:t>
      </w:r>
      <w:r w:rsidRPr="00CB2585">
        <w:rPr>
          <w:lang w:val="it-IT"/>
        </w:rPr>
        <w:t xml:space="preserve">” in </w:t>
      </w:r>
      <w:r w:rsidRPr="00CB2585">
        <w:rPr>
          <w:i/>
          <w:lang w:val="it-IT"/>
        </w:rPr>
        <w:t xml:space="preserve">Servizi pubblici e appalti, </w:t>
      </w:r>
      <w:r w:rsidRPr="00CB2585">
        <w:rPr>
          <w:lang w:val="it-IT"/>
        </w:rPr>
        <w:t>2003.</w:t>
      </w:r>
      <w:proofErr w:type="gramEnd"/>
    </w:p>
    <w:p w14:paraId="10A6CF1D" w14:textId="77777777" w:rsidR="00B27AAF" w:rsidRPr="00CB2585" w:rsidRDefault="00B27AAF" w:rsidP="00B27AAF">
      <w:pPr>
        <w:widowControl w:val="0"/>
        <w:spacing w:after="200"/>
        <w:jc w:val="both"/>
        <w:rPr>
          <w:lang w:val="it-IT"/>
        </w:rPr>
      </w:pPr>
      <w:r w:rsidRPr="00CB2585">
        <w:rPr>
          <w:lang w:val="it-IT"/>
        </w:rPr>
        <w:t>“</w:t>
      </w:r>
      <w:r w:rsidRPr="00CB2585">
        <w:rPr>
          <w:i/>
          <w:lang w:val="it-IT"/>
        </w:rPr>
        <w:t>Il diritto d’accesso nella giurisprudenza: oggetto e limiti (rassegna</w:t>
      </w:r>
      <w:proofErr w:type="gramStart"/>
      <w:r w:rsidRPr="00CB2585">
        <w:rPr>
          <w:i/>
          <w:lang w:val="it-IT"/>
        </w:rPr>
        <w:t>)</w:t>
      </w:r>
      <w:proofErr w:type="gramEnd"/>
      <w:r w:rsidRPr="00CB2585">
        <w:rPr>
          <w:lang w:val="it-IT"/>
        </w:rPr>
        <w:t xml:space="preserve">” in </w:t>
      </w:r>
      <w:r w:rsidRPr="00CB2585">
        <w:rPr>
          <w:i/>
          <w:lang w:val="it-IT"/>
        </w:rPr>
        <w:t xml:space="preserve">Foro amministrativo, Tar, </w:t>
      </w:r>
      <w:r w:rsidRPr="00CB2585">
        <w:rPr>
          <w:lang w:val="it-IT"/>
        </w:rPr>
        <w:t>2002.</w:t>
      </w:r>
    </w:p>
    <w:p w14:paraId="6A643D83" w14:textId="77777777" w:rsidR="00B27AAF" w:rsidRPr="00CB2585" w:rsidRDefault="00B27AAF" w:rsidP="00B27AAF">
      <w:pPr>
        <w:widowControl w:val="0"/>
        <w:spacing w:after="200"/>
        <w:jc w:val="both"/>
        <w:rPr>
          <w:lang w:val="it-IT"/>
        </w:rPr>
      </w:pPr>
      <w:proofErr w:type="gramStart"/>
      <w:r w:rsidRPr="00CB2585">
        <w:rPr>
          <w:lang w:val="it-IT"/>
        </w:rPr>
        <w:t>“</w:t>
      </w:r>
      <w:r w:rsidRPr="00CB2585">
        <w:rPr>
          <w:i/>
          <w:lang w:val="it-IT"/>
        </w:rPr>
        <w:t>Giudizio contro il silenzio della pubblica amministrazione: verifica della pretesa o controllo del calendario?</w:t>
      </w:r>
      <w:r w:rsidRPr="00CB2585">
        <w:rPr>
          <w:lang w:val="it-IT"/>
        </w:rPr>
        <w:t xml:space="preserve">” in </w:t>
      </w:r>
      <w:r w:rsidRPr="00CB2585">
        <w:rPr>
          <w:i/>
          <w:lang w:val="it-IT"/>
        </w:rPr>
        <w:t xml:space="preserve">Giustizia Civile, </w:t>
      </w:r>
      <w:r w:rsidRPr="00CB2585">
        <w:rPr>
          <w:lang w:val="it-IT"/>
        </w:rPr>
        <w:t>2002.</w:t>
      </w:r>
      <w:proofErr w:type="gramEnd"/>
    </w:p>
    <w:p w14:paraId="2298AA5A" w14:textId="77777777" w:rsidR="00B27AAF" w:rsidRPr="00CB2585" w:rsidRDefault="00B27AAF" w:rsidP="00B27AAF">
      <w:pPr>
        <w:widowControl w:val="0"/>
        <w:spacing w:after="200"/>
        <w:jc w:val="both"/>
        <w:rPr>
          <w:lang w:val="it-IT"/>
        </w:rPr>
      </w:pPr>
      <w:proofErr w:type="gramStart"/>
      <w:r w:rsidRPr="00CB2585">
        <w:rPr>
          <w:lang w:val="it-IT"/>
        </w:rPr>
        <w:t>“</w:t>
      </w:r>
      <w:r w:rsidRPr="00CB2585">
        <w:rPr>
          <w:i/>
          <w:lang w:val="it-IT"/>
        </w:rPr>
        <w:t>Osservazione in tema di difetto di legittimazione in capo ad un comitato temporaneo</w:t>
      </w:r>
      <w:r w:rsidRPr="00CB2585">
        <w:rPr>
          <w:lang w:val="it-IT"/>
        </w:rPr>
        <w:t xml:space="preserve"> </w:t>
      </w:r>
      <w:r w:rsidRPr="00CB2585">
        <w:rPr>
          <w:i/>
          <w:lang w:val="it-IT"/>
        </w:rPr>
        <w:t>portatore di interessi diffusi ai fini dell’accesso agl</w:t>
      </w:r>
      <w:proofErr w:type="gramEnd"/>
      <w:r w:rsidRPr="00CB2585">
        <w:rPr>
          <w:i/>
          <w:lang w:val="it-IT"/>
        </w:rPr>
        <w:t>i atti per la costruzione di un aeroporto</w:t>
      </w:r>
      <w:r w:rsidRPr="00CB2585">
        <w:rPr>
          <w:lang w:val="it-IT"/>
        </w:rPr>
        <w:t xml:space="preserve">” in </w:t>
      </w:r>
      <w:r w:rsidRPr="00CB2585">
        <w:rPr>
          <w:i/>
          <w:lang w:val="it-IT"/>
        </w:rPr>
        <w:t xml:space="preserve">Foro amministrativo, Tar, </w:t>
      </w:r>
      <w:r w:rsidRPr="00CB2585">
        <w:rPr>
          <w:lang w:val="it-IT"/>
        </w:rPr>
        <w:t>2002.</w:t>
      </w:r>
    </w:p>
    <w:p w14:paraId="55CBF76A" w14:textId="77777777" w:rsidR="00B27AAF" w:rsidRPr="00CB2585" w:rsidRDefault="00B27AAF" w:rsidP="00B27AAF">
      <w:pPr>
        <w:widowControl w:val="0"/>
        <w:spacing w:after="200"/>
        <w:jc w:val="both"/>
        <w:rPr>
          <w:lang w:val="it-IT"/>
        </w:rPr>
      </w:pPr>
      <w:proofErr w:type="gramStart"/>
      <w:r w:rsidRPr="00CB2585">
        <w:rPr>
          <w:lang w:val="it-IT"/>
        </w:rPr>
        <w:t>“</w:t>
      </w:r>
      <w:r w:rsidRPr="00CB2585">
        <w:rPr>
          <w:i/>
          <w:lang w:val="it-IT"/>
        </w:rPr>
        <w:t xml:space="preserve">Osservazione a Cons. Stato, sez. IV, 29 aprile 2002, n. 2283, in tema di interesse all’accesso agli atti delle gare di appalto” </w:t>
      </w:r>
      <w:r w:rsidRPr="00CB2585">
        <w:rPr>
          <w:lang w:val="it-IT"/>
        </w:rPr>
        <w:t xml:space="preserve">in  </w:t>
      </w:r>
      <w:proofErr w:type="spellStart"/>
      <w:r w:rsidRPr="00CB2585">
        <w:rPr>
          <w:i/>
          <w:lang w:val="it-IT"/>
        </w:rPr>
        <w:t>Riv</w:t>
      </w:r>
      <w:proofErr w:type="spellEnd"/>
      <w:r w:rsidRPr="00CB2585">
        <w:rPr>
          <w:i/>
          <w:lang w:val="it-IT"/>
        </w:rPr>
        <w:t>. gi</w:t>
      </w:r>
      <w:proofErr w:type="gramEnd"/>
      <w:r w:rsidRPr="00CB2585">
        <w:rPr>
          <w:i/>
          <w:lang w:val="it-IT"/>
        </w:rPr>
        <w:t xml:space="preserve">ur. edilizia, </w:t>
      </w:r>
      <w:r w:rsidRPr="00CB2585">
        <w:rPr>
          <w:lang w:val="it-IT"/>
        </w:rPr>
        <w:t>2002.</w:t>
      </w:r>
    </w:p>
    <w:p w14:paraId="0CDF8A9B" w14:textId="77777777" w:rsidR="00B27AAF" w:rsidRPr="00CB2585" w:rsidRDefault="00B27AAF" w:rsidP="00B27AAF">
      <w:pPr>
        <w:widowControl w:val="0"/>
        <w:spacing w:after="200"/>
        <w:jc w:val="both"/>
        <w:rPr>
          <w:lang w:val="it-IT"/>
        </w:rPr>
      </w:pPr>
      <w:r w:rsidRPr="00CB2585">
        <w:rPr>
          <w:lang w:val="it-IT"/>
        </w:rPr>
        <w:t>“</w:t>
      </w:r>
      <w:r w:rsidRPr="00CB2585">
        <w:rPr>
          <w:i/>
          <w:lang w:val="it-IT"/>
        </w:rPr>
        <w:t>Accesso agli atti delle società privatizzate e imparzialità della pubblica amministrazione (ovvero sull’</w:t>
      </w:r>
      <w:proofErr w:type="spellStart"/>
      <w:r w:rsidRPr="00CB2585">
        <w:rPr>
          <w:i/>
          <w:lang w:val="it-IT"/>
        </w:rPr>
        <w:t>ostensibilità</w:t>
      </w:r>
      <w:proofErr w:type="spellEnd"/>
      <w:r w:rsidRPr="00CB2585">
        <w:rPr>
          <w:i/>
          <w:lang w:val="it-IT"/>
        </w:rPr>
        <w:t xml:space="preserve"> degli atti di Ente Poste s.p.a.</w:t>
      </w:r>
      <w:proofErr w:type="gramStart"/>
      <w:r w:rsidRPr="00CB2585">
        <w:rPr>
          <w:i/>
          <w:lang w:val="it-IT"/>
        </w:rPr>
        <w:t>)</w:t>
      </w:r>
      <w:proofErr w:type="gramEnd"/>
      <w:r w:rsidRPr="00CB2585">
        <w:rPr>
          <w:lang w:val="it-IT"/>
        </w:rPr>
        <w:t xml:space="preserve">” in </w:t>
      </w:r>
      <w:r w:rsidRPr="00CB2585">
        <w:rPr>
          <w:i/>
          <w:lang w:val="it-IT"/>
        </w:rPr>
        <w:t xml:space="preserve">Foro amministrativo, </w:t>
      </w:r>
      <w:proofErr w:type="spellStart"/>
      <w:r w:rsidRPr="00CB2585">
        <w:rPr>
          <w:i/>
          <w:lang w:val="it-IT"/>
        </w:rPr>
        <w:t>CdS</w:t>
      </w:r>
      <w:proofErr w:type="spellEnd"/>
      <w:r w:rsidRPr="00CB2585">
        <w:rPr>
          <w:i/>
          <w:lang w:val="it-IT"/>
        </w:rPr>
        <w:t xml:space="preserve">, </w:t>
      </w:r>
      <w:r w:rsidRPr="00CB2585">
        <w:rPr>
          <w:lang w:val="it-IT"/>
        </w:rPr>
        <w:t>2002.</w:t>
      </w:r>
    </w:p>
    <w:p w14:paraId="76D521C4" w14:textId="77777777" w:rsidR="00B27AAF" w:rsidRPr="00CB2585" w:rsidRDefault="00B27AAF" w:rsidP="00B27AAF">
      <w:pPr>
        <w:widowControl w:val="0"/>
        <w:spacing w:after="200"/>
        <w:jc w:val="both"/>
        <w:rPr>
          <w:lang w:val="it-IT"/>
        </w:rPr>
      </w:pPr>
      <w:proofErr w:type="gramStart"/>
      <w:r w:rsidRPr="00CB2585">
        <w:rPr>
          <w:lang w:val="it-IT"/>
        </w:rPr>
        <w:t>“</w:t>
      </w:r>
      <w:r w:rsidRPr="00CB2585">
        <w:rPr>
          <w:i/>
          <w:lang w:val="it-IT"/>
        </w:rPr>
        <w:t>Osservazione in tema di temporaneo differimento dell’accesso al momento della conclusione della procedura di gara</w:t>
      </w:r>
      <w:r w:rsidRPr="00CB2585">
        <w:rPr>
          <w:lang w:val="it-IT"/>
        </w:rPr>
        <w:t xml:space="preserve">” in </w:t>
      </w:r>
      <w:r w:rsidRPr="00CB2585">
        <w:rPr>
          <w:i/>
          <w:lang w:val="it-IT"/>
        </w:rPr>
        <w:t xml:space="preserve">Foro amministrativo, </w:t>
      </w:r>
      <w:proofErr w:type="gramEnd"/>
      <w:r w:rsidRPr="00CB2585">
        <w:rPr>
          <w:i/>
          <w:lang w:val="it-IT"/>
        </w:rPr>
        <w:t xml:space="preserve">Tar, </w:t>
      </w:r>
      <w:r w:rsidRPr="00CB2585">
        <w:rPr>
          <w:lang w:val="it-IT"/>
        </w:rPr>
        <w:t>2002.</w:t>
      </w:r>
    </w:p>
    <w:p w14:paraId="697D44A7" w14:textId="77777777" w:rsidR="00B27AAF" w:rsidRPr="00CB2585" w:rsidRDefault="00B27AAF" w:rsidP="00B27AAF">
      <w:pPr>
        <w:widowControl w:val="0"/>
        <w:spacing w:after="200"/>
        <w:ind w:left="360"/>
        <w:jc w:val="both"/>
        <w:rPr>
          <w:lang w:val="it-IT"/>
        </w:rPr>
      </w:pPr>
    </w:p>
    <w:p w14:paraId="05BF9C9A" w14:textId="77777777" w:rsidR="00EC1FF4" w:rsidRPr="00B27AAF" w:rsidRDefault="00EC1FF4">
      <w:pPr>
        <w:rPr>
          <w:lang w:val="it-IT"/>
        </w:rPr>
      </w:pPr>
    </w:p>
    <w:sectPr w:rsidR="00EC1FF4" w:rsidRPr="00B27AAF" w:rsidSect="00DE04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AF"/>
    <w:rsid w:val="00044C3C"/>
    <w:rsid w:val="006870AD"/>
    <w:rsid w:val="00B27AAF"/>
    <w:rsid w:val="00DB359F"/>
    <w:rsid w:val="00DE04FF"/>
    <w:rsid w:val="00EC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96C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olo2">
    <w:name w:val="heading 2"/>
    <w:basedOn w:val="Normale"/>
    <w:next w:val="Normale"/>
    <w:link w:val="Titolo2Carattere"/>
    <w:qFormat/>
    <w:rsid w:val="00B27AAF"/>
    <w:pPr>
      <w:keepNext/>
      <w:widowControl w:val="0"/>
      <w:ind w:left="360"/>
      <w:jc w:val="both"/>
      <w:outlineLvl w:val="1"/>
    </w:pPr>
    <w:rPr>
      <w:rFonts w:ascii="Bookman Old Style" w:hAnsi="Bookman Old Style"/>
      <w:i/>
      <w:iCs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rsid w:val="00B27AAF"/>
    <w:rPr>
      <w:rFonts w:ascii="Bookman Old Style" w:eastAsia="Times New Roman" w:hAnsi="Bookman Old Style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olo2">
    <w:name w:val="heading 2"/>
    <w:basedOn w:val="Normale"/>
    <w:next w:val="Normale"/>
    <w:link w:val="Titolo2Carattere"/>
    <w:qFormat/>
    <w:rsid w:val="00B27AAF"/>
    <w:pPr>
      <w:keepNext/>
      <w:widowControl w:val="0"/>
      <w:ind w:left="360"/>
      <w:jc w:val="both"/>
      <w:outlineLvl w:val="1"/>
    </w:pPr>
    <w:rPr>
      <w:rFonts w:ascii="Bookman Old Style" w:hAnsi="Bookman Old Style"/>
      <w:i/>
      <w:iCs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rsid w:val="00B27AAF"/>
    <w:rPr>
      <w:rFonts w:ascii="Bookman Old Style" w:eastAsia="Times New Roman" w:hAnsi="Bookman Old Style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3471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DelGatto</dc:creator>
  <cp:lastModifiedBy>Sveva</cp:lastModifiedBy>
  <cp:revision>2</cp:revision>
  <dcterms:created xsi:type="dcterms:W3CDTF">2015-02-04T10:06:00Z</dcterms:created>
  <dcterms:modified xsi:type="dcterms:W3CDTF">2015-02-04T10:06:00Z</dcterms:modified>
</cp:coreProperties>
</file>