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5A" w:rsidRPr="00F93B85" w:rsidRDefault="00525E5A" w:rsidP="0006694B">
      <w:pPr>
        <w:pStyle w:val="Aeeaoaeaa1"/>
        <w:widowControl/>
        <w:jc w:val="both"/>
        <w:rPr>
          <w:rFonts w:ascii="Arial Narrow" w:hAnsi="Arial Narrow" w:cs="Arial Narrow"/>
          <w:smallCaps/>
          <w:sz w:val="24"/>
          <w:szCs w:val="24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43589D" w:rsidRPr="0043589D" w:rsidRDefault="0043589D" w:rsidP="0043589D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</w:rPr>
      </w:pPr>
      <w:r w:rsidRPr="0043589D">
        <w:rPr>
          <w:rFonts w:ascii="Arial Narrow" w:hAnsi="Arial Narrow" w:cs="Arial Narrow"/>
          <w:b/>
          <w:bCs/>
          <w:i w:val="0"/>
          <w:iCs w:val="0"/>
          <w:sz w:val="20"/>
          <w:szCs w:val="20"/>
        </w:rPr>
        <w:t>2015</w:t>
      </w:r>
    </w:p>
    <w:p w:rsidR="0043589D" w:rsidRPr="0043589D" w:rsidRDefault="0043589D" w:rsidP="0043589D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</w:rPr>
      </w:pPr>
    </w:p>
    <w:p w:rsidR="0043589D" w:rsidRDefault="0043589D" w:rsidP="0043589D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 w:rsidRPr="0043589D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The way to the Banking Union and beyond: </w:t>
      </w:r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past, present and future role of coordination in financial supervision, </w:t>
      </w:r>
      <w:r w:rsidR="006F7C1F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in E. </w:t>
      </w:r>
      <w:proofErr w:type="spellStart"/>
      <w:r w:rsidR="006F7C1F">
        <w:rPr>
          <w:rFonts w:ascii="Arial Narrow" w:hAnsi="Arial Narrow" w:cs="Arial Narrow"/>
          <w:bCs/>
          <w:i w:val="0"/>
          <w:iCs w:val="0"/>
          <w:sz w:val="20"/>
          <w:szCs w:val="20"/>
        </w:rPr>
        <w:t>Chiti</w:t>
      </w:r>
      <w:proofErr w:type="spellEnd"/>
      <w:r w:rsidR="006F7C1F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G. </w:t>
      </w:r>
      <w:proofErr w:type="spellStart"/>
      <w:r w:rsidR="006F7C1F">
        <w:rPr>
          <w:rFonts w:ascii="Arial Narrow" w:hAnsi="Arial Narrow" w:cs="Arial Narrow"/>
          <w:bCs/>
          <w:i w:val="0"/>
          <w:iCs w:val="0"/>
          <w:sz w:val="20"/>
          <w:szCs w:val="20"/>
        </w:rPr>
        <w:t>Vesperini</w:t>
      </w:r>
      <w:proofErr w:type="spellEnd"/>
      <w:r w:rsidR="006F7C1F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</w:t>
      </w:r>
      <w:proofErr w:type="spellStart"/>
      <w:r w:rsidR="006F7C1F">
        <w:rPr>
          <w:rFonts w:ascii="Arial Narrow" w:hAnsi="Arial Narrow" w:cs="Arial Narrow"/>
          <w:bCs/>
          <w:i w:val="0"/>
          <w:iCs w:val="0"/>
          <w:sz w:val="20"/>
          <w:szCs w:val="20"/>
        </w:rPr>
        <w:t>eds</w:t>
      </w:r>
      <w:proofErr w:type="spellEnd"/>
      <w:r w:rsidR="006F7C1F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</w:t>
      </w:r>
      <w:r w:rsidR="006F7C1F" w:rsidRPr="006F7C1F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The Administrative Architecture of Financial Integration. </w:t>
      </w:r>
      <w:proofErr w:type="spellStart"/>
      <w:r w:rsidR="006F7C1F" w:rsidRPr="006F7C1F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Institutional</w:t>
      </w:r>
      <w:proofErr w:type="spellEnd"/>
      <w:r w:rsidR="006F7C1F" w:rsidRPr="006F7C1F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Design, Legal </w:t>
      </w:r>
      <w:proofErr w:type="spellStart"/>
      <w:r w:rsidR="006F7C1F" w:rsidRPr="006F7C1F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Issues</w:t>
      </w:r>
      <w:proofErr w:type="spellEnd"/>
      <w:r w:rsidR="006F7C1F" w:rsidRPr="006F7C1F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, </w:t>
      </w:r>
      <w:proofErr w:type="spellStart"/>
      <w:r w:rsidR="006F7C1F" w:rsidRPr="006F7C1F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Perspectives</w:t>
      </w:r>
      <w:proofErr w:type="spellEnd"/>
      <w:r w:rsidR="006F7C1F" w:rsidRPr="006F7C1F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Bologna, Il Mulino, in corso di pubblicazione</w:t>
      </w:r>
    </w:p>
    <w:p w:rsidR="009639BE" w:rsidRDefault="009639BE" w:rsidP="0043589D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9639BE" w:rsidRPr="006F7C1F" w:rsidRDefault="009639BE" w:rsidP="0043589D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L’accesso dell’Unione europea alla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Cedu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: chiusura del cerchio o camicia di forza? In corso di pubblicazione in Rivista Trimestrale di diritto pubblico, n. 2/2015</w:t>
      </w:r>
      <w:bookmarkStart w:id="0" w:name="_GoBack"/>
      <w:bookmarkEnd w:id="0"/>
    </w:p>
    <w:p w:rsidR="0043589D" w:rsidRPr="006F7C1F" w:rsidRDefault="0043589D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BF736E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2002 – 2014</w:t>
      </w:r>
    </w:p>
    <w:p w:rsidR="00525E5A" w:rsidRPr="004C4A81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Osservatorio trimestrale della giurisprudenza della Corte europea dei diritti dell’uomo, in Giornale di diritto amministrativo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B83898" w:rsidRDefault="00B83898" w:rsidP="00B83898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2014</w:t>
      </w:r>
    </w:p>
    <w:p w:rsidR="00B83898" w:rsidRDefault="00B83898" w:rsidP="00B83898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B83898" w:rsidRDefault="00B83898" w:rsidP="00B83898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 w:rsidRPr="00B83898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 controlli esterni della Corte dei conti sulle gestioni delle pubbliche amministrazioni</w:t>
      </w: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in E. D’Alterio, Lo stato dei controlli delle pubbliche amministrazioni, Rapporto IRPA, in corso di pubblicazione</w:t>
      </w:r>
    </w:p>
    <w:p w:rsidR="00B83898" w:rsidRDefault="00B83898" w:rsidP="00B83898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B83898" w:rsidRDefault="00B83898" w:rsidP="00B83898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Austria, in M. Savino, a cura di, Oltre lo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Ius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Soli. La cittadinanza italiana in prospettiva comp</w:t>
      </w:r>
      <w:r w:rsidR="0043589D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arata, Rapporto IRPA n. 2/2014;</w:t>
      </w:r>
    </w:p>
    <w:p w:rsidR="00B83898" w:rsidRDefault="00B83898" w:rsidP="00B83898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B83898" w:rsidRDefault="00B83898" w:rsidP="00B83898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 w:rsidRPr="00B83898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Principio di precauzione</w:t>
      </w: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</w:t>
      </w:r>
      <w:r w:rsidRPr="00B83898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e obblighi di informazione</w:t>
      </w: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</w:t>
      </w:r>
      <w:r w:rsidRPr="00B83898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a protezione dei diritti umani</w:t>
      </w: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in Giornale di diritto amministrativo, n. 6/2014, 586 ss.</w:t>
      </w:r>
    </w:p>
    <w:p w:rsidR="00B83898" w:rsidRDefault="00B83898" w:rsidP="003A2BA1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B83898" w:rsidRDefault="00B83898" w:rsidP="003A2BA1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 w:rsidRPr="00B83898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La sorveglianza segreta sui membri del Parlamento e il principio del mandato indipendente: dal </w:t>
      </w:r>
      <w:proofErr w:type="spellStart"/>
      <w:r w:rsidRPr="00B83898">
        <w:rPr>
          <w:rFonts w:ascii="Arial Narrow" w:hAnsi="Arial Narrow" w:cs="Arial Narrow"/>
          <w:bCs/>
          <w:iCs w:val="0"/>
          <w:sz w:val="20"/>
          <w:szCs w:val="20"/>
          <w:lang w:val="it-IT"/>
        </w:rPr>
        <w:t>Bundesverfassungsgericht</w:t>
      </w:r>
      <w:proofErr w:type="spellEnd"/>
      <w:r w:rsidRPr="00B83898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un saggio di teoria costituzionale sulla democrazia tedesca</w:t>
      </w: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, in Osservatorio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Osservatorio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dell’Associazione Italiana dei Costituzionalisti, n. 1/2014</w:t>
      </w:r>
    </w:p>
    <w:p w:rsidR="00B83898" w:rsidRDefault="00B83898" w:rsidP="003A2BA1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3A2BA1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2013</w:t>
      </w: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Lussemburgo e Karlsruhe a duello sull’applicabilità della Carta UE, in Osservatorio dell’Associazione Italiana dei Costituzionalisti, settembre 2013</w:t>
      </w: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Shalabayeva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e il problema del coordinamento nell’amministrazione, in Giornale di diritto amministrativo, n. 10/2013, 1011 ss.</w:t>
      </w: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Il difficile cammino verso uno sviluppo più sostenibile, in Rivista trimestrale di diritto pubblico</w:t>
      </w:r>
      <w:r w:rsidR="00BF736E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n. 4/2013, 1153 ss.</w:t>
      </w: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La relazione annuale al Parlamento sullo stato di esecuzione delle sentenze della Corte di Strasburgo, in Rivista trimestrale di diritto pubblico</w:t>
      </w:r>
      <w:r w:rsidR="00BF736E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n. 4/2013, 1148 ss.</w:t>
      </w: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725FE2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2012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Diritti umani e amministrazioni pubbliche, Milano,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Giuffré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2012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</w:rPr>
      </w:pPr>
      <w:r w:rsidRPr="00FD30F8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Conflicts of Norms and Conflicts of Jurisdiction in the Fight </w:t>
      </w:r>
      <w:proofErr w:type="gramStart"/>
      <w:r w:rsidRPr="00FD30F8">
        <w:rPr>
          <w:rFonts w:ascii="Arial Narrow" w:hAnsi="Arial Narrow" w:cs="Arial Narrow"/>
          <w:bCs/>
          <w:i w:val="0"/>
          <w:iCs w:val="0"/>
          <w:sz w:val="20"/>
          <w:szCs w:val="20"/>
        </w:rPr>
        <w:t>Against</w:t>
      </w:r>
      <w:proofErr w:type="gramEnd"/>
      <w:r w:rsidRPr="00FD30F8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 Terrorism</w:t>
      </w:r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in S. Cassese, B.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Carotti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L.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Casini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E.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Cavalieri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, E. MacDonald, Global Administrative Law: The casebook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</w:rPr>
      </w:pPr>
      <w:r w:rsidRPr="00FD30F8">
        <w:rPr>
          <w:rFonts w:ascii="Arial Narrow" w:hAnsi="Arial Narrow" w:cs="Arial Narrow"/>
          <w:bCs/>
          <w:i w:val="0"/>
          <w:iCs w:val="0"/>
          <w:sz w:val="20"/>
          <w:szCs w:val="20"/>
        </w:rPr>
        <w:t>Democracy and Human Rights: Reciprocally Fostering and/or Restraining Concepts?</w:t>
      </w:r>
      <w:r w:rsidRPr="00030C8E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in S. Cassese, B.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Carotti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L.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Casini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E.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Cavalieri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, E. MacDonald, Global Administrative Law: The casebook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</w:rPr>
      </w:pPr>
      <w:r w:rsidRPr="00030C8E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The Impact of Human Rights Law on Supranational Regimes: The </w:t>
      </w:r>
      <w:proofErr w:type="spellStart"/>
      <w:r w:rsidRPr="00030C8E">
        <w:rPr>
          <w:rFonts w:ascii="Arial Narrow" w:hAnsi="Arial Narrow" w:cs="Arial Narrow"/>
          <w:bCs/>
          <w:i w:val="0"/>
          <w:iCs w:val="0"/>
          <w:sz w:val="20"/>
          <w:szCs w:val="20"/>
        </w:rPr>
        <w:t>Bosphorus</w:t>
      </w:r>
      <w:proofErr w:type="spellEnd"/>
      <w:r w:rsidRPr="00030C8E"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 Case</w:t>
      </w:r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in S. Cassese, B.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Carotti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L.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Casini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</w:t>
      </w:r>
      <w:smartTag w:uri="urn:schemas-microsoft-com:office:smarttags" w:element="place">
        <w:r>
          <w:rPr>
            <w:rFonts w:ascii="Arial Narrow" w:hAnsi="Arial Narrow" w:cs="Arial Narrow"/>
            <w:bCs/>
            <w:i w:val="0"/>
            <w:iCs w:val="0"/>
            <w:sz w:val="20"/>
            <w:szCs w:val="20"/>
          </w:rPr>
          <w:t xml:space="preserve">E. </w:t>
        </w:r>
        <w:proofErr w:type="spellStart"/>
        <w:r>
          <w:rPr>
            <w:rFonts w:ascii="Arial Narrow" w:hAnsi="Arial Narrow" w:cs="Arial Narrow"/>
            <w:bCs/>
            <w:i w:val="0"/>
            <w:iCs w:val="0"/>
            <w:sz w:val="20"/>
            <w:szCs w:val="20"/>
          </w:rPr>
          <w:t>Cavalieri</w:t>
        </w:r>
      </w:smartTag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, E. MacDonald, Global Administrative Law: The casebook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</w:rPr>
      </w:pPr>
    </w:p>
    <w:p w:rsidR="00525E5A" w:rsidRPr="00FD30F8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</w:rPr>
      </w:pPr>
      <w:r w:rsidRPr="00030C8E">
        <w:rPr>
          <w:rFonts w:ascii="Arial Narrow" w:hAnsi="Arial Narrow" w:cs="Arial Narrow"/>
          <w:bCs/>
          <w:i w:val="0"/>
          <w:iCs w:val="0"/>
          <w:sz w:val="20"/>
          <w:szCs w:val="20"/>
        </w:rPr>
        <w:lastRenderedPageBreak/>
        <w:t>The Italian Expropriation Case: Incorporating the ECHR into National Legal Orders</w:t>
      </w:r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in S. Cassese, B.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Carotti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L.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Casini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 xml:space="preserve">, E.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Cavalieri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</w:rPr>
        <w:t>, E. MacDonald, Global Administrative Law: The casebook</w:t>
      </w:r>
    </w:p>
    <w:p w:rsidR="00525E5A" w:rsidRPr="00FD30F8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Cronache amministrative </w:t>
      </w:r>
      <w:smartTag w:uri="urn:schemas-microsoft-com:office:smarttags" w:element="metricconverter">
        <w:smartTagPr>
          <w:attr w:name="ProductID" w:val="2010, in"/>
        </w:smartTagPr>
        <w:r>
          <w:rPr>
            <w:rFonts w:ascii="Arial Narrow" w:hAnsi="Arial Narrow" w:cs="Arial Narrow"/>
            <w:bCs/>
            <w:i w:val="0"/>
            <w:iCs w:val="0"/>
            <w:sz w:val="20"/>
            <w:szCs w:val="20"/>
            <w:lang w:val="it-IT"/>
          </w:rPr>
          <w:t>2010, in</w:t>
        </w:r>
      </w:smartTag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Rivista trimestrale di diritto pubblico, n. 2/2012, 437 ss.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 w:rsidRPr="00725FE2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Gulliver a Lilliput: la carta dei diritti UE nei tiranti costituzionali austriaci</w:t>
      </w: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in Giornale di diritto amministrativo, n. 12/2012, 1253 ss.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Pr="00725FE2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L’immunità degli Stati e i diritti delle vittime: quale </w:t>
      </w:r>
      <w:proofErr w:type="gram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equilibrio?,</w:t>
      </w:r>
      <w:proofErr w:type="gram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in Giornale di diritto amministrativo, n. 6/2012, 616 ss.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2011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La CEDU e il crocifisso nelle aule scolastiche, in Giornale di diritto amministrativo, n. 8/2011, 851 ss.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La scienza giuridica spagnola e i diritti umani, in Rivista trimestrale di diritto pubblico, n. 1/2011, 271 ss. 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La riorganizzazione del Ministero degli esteri: vera riforma o mero restyling? In corso di pubblicazione in Giornale di diritto amministrativo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Pr="00904067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Procreazione assistita e non discriminazione nella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Cedu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in Giornale di diritto amministrativo, n. 1/2011, 39 ss.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2000 – 2009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Pr="004C4A81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Osservatorio sull’attività normativa del governo, con altri autori, in Rivista trimestrale di diritto pubblico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Pr="001D6D2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 w:rsidRPr="001D6D2A"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2010</w:t>
      </w:r>
    </w:p>
    <w:p w:rsidR="00525E5A" w:rsidRPr="001D6D2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Pr="00673C61" w:rsidRDefault="00525E5A" w:rsidP="001D6D2A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 w:rsidRPr="00673C61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La difficile “via dell’equilibrio”: quarant’anni di finanza pubblica italiana, in </w:t>
      </w:r>
      <w:proofErr w:type="spellStart"/>
      <w:r w:rsidRPr="00673C61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Aa.Vv</w:t>
      </w:r>
      <w:proofErr w:type="spellEnd"/>
      <w:r w:rsidRPr="00673C61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. </w:t>
      </w: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L’insegnamento in pubblico. Gli scritti giornalistici di Sabino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Cassese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, Milano,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Giuffré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2010, 109 ss.</w:t>
      </w:r>
    </w:p>
    <w:p w:rsidR="00525E5A" w:rsidRPr="00673C61" w:rsidRDefault="00525E5A" w:rsidP="001D6D2A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Pr="001D6D2A" w:rsidRDefault="00525E5A" w:rsidP="001D6D2A">
      <w:pPr>
        <w:pStyle w:val="OiaeaeiYiio2"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Council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of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Europe’s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instruments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on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mutual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assistance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in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administrative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matters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: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techniques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,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shortcomings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and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possible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improvements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, IRPA Report, con Susanna </w:t>
      </w:r>
      <w:proofErr w:type="spellStart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Screpanti</w:t>
      </w:r>
      <w:proofErr w:type="spellEnd"/>
      <w:r w:rsidRPr="001D6D2A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pubblicato sul sito del Consiglio d’Europa e dell’IRPA</w:t>
      </w:r>
    </w:p>
    <w:p w:rsidR="00525E5A" w:rsidRPr="001D6D2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Pr="00904067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 w:rsidRPr="00904067"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Il principio generale europeo di non discriminazione</w:t>
      </w: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in Giornale di diritto amministrativo, n. 8/2010, 779 ss.</w:t>
      </w:r>
    </w:p>
    <w:p w:rsidR="00525E5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Pr="00185A9A" w:rsidRDefault="00525E5A" w:rsidP="001D6D2A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Una sentenza in materia di giurisdizione universale, in Rivista trimestrale di diritto pubblico, n. 1/2010, 319 ss.</w:t>
      </w:r>
    </w:p>
    <w:p w:rsidR="00525E5A" w:rsidRPr="004C4A81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2009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La giurisdizione universale, in Giornale di diritto amministrativo, n. 11/2009, 1174 ss.</w:t>
      </w:r>
    </w:p>
    <w:p w:rsidR="00525E5A" w:rsidRPr="004C4A81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2008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Il diritto di accesso ad un giudice, in Giornale di diritto amministrativo, n. 5/2008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</w:p>
    <w:p w:rsidR="00525E5A" w:rsidRPr="00EB0DAB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 xml:space="preserve">Corte costituzionale e occupazione acquisitiva: un adeguamento soltanto parziale alla giurisprudenza </w:t>
      </w:r>
      <w:proofErr w:type="spellStart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Cedu</w:t>
      </w:r>
      <w:proofErr w:type="spellEnd"/>
      <w:r>
        <w:rPr>
          <w:rFonts w:ascii="Arial Narrow" w:hAnsi="Arial Narrow" w:cs="Arial Narrow"/>
          <w:bCs/>
          <w:i w:val="0"/>
          <w:iCs w:val="0"/>
          <w:sz w:val="20"/>
          <w:szCs w:val="20"/>
          <w:lang w:val="it-IT"/>
        </w:rPr>
        <w:t>, in Giornale di diritto amministrativo, n. 1/2008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  <w:t>2007</w:t>
      </w:r>
    </w:p>
    <w:p w:rsidR="00525E5A" w:rsidRPr="0080606C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Le restrizioni all’impugnabilità dei regolamenti comunitari da parte dei privati, in Giornale di diritto amministrativo, n. 12/2007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L’Agenzia europea per i diritti fondamentali, in Giornale di diritto amministrativo, n. 7/2007, nonché in www.federalismi.it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Il diritto ad un processo equo, in Giornale di diritto amministrativo, n. 6/2007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Verso la disapplicazione delle disposizioni legislative contrarie alla </w:t>
      </w:r>
      <w:proofErr w:type="gramStart"/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CEDU?,</w:t>
      </w:r>
      <w:proofErr w:type="gramEnd"/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 in Giornale di diritto amministrativo, n. 4/2007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  <w:r w:rsidRPr="003513DA"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  <w:lastRenderedPageBreak/>
        <w:t>2006</w:t>
      </w:r>
    </w:p>
    <w:p w:rsidR="00525E5A" w:rsidRPr="003513D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 Il controllo della CEDU sull’esecuzione delle proprie sentenze, in Giornale di diritto amministrativo, n. 9/2006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Giudici costituzionali, “sovranità nazionale” e diritti umani, in Giornale di diritto amministrativo, n. 6/2006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L’insindacabilità parlamentare (di nuovo) al vaglio della CEDU, in Giornale di diritto amministrativo, n. 5/2006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Il controllo della CEDU sugli atti nazionali in funzione comunitaria, in Giornale di diritto amministrativo, n. 1/2006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en-GB"/>
        </w:rPr>
      </w:pPr>
      <w:r w:rsidRPr="009416B2">
        <w:rPr>
          <w:rFonts w:ascii="Arial Narrow" w:hAnsi="Arial Narrow" w:cs="Arial Narrow"/>
          <w:i w:val="0"/>
          <w:iCs w:val="0"/>
          <w:sz w:val="20"/>
          <w:szCs w:val="20"/>
          <w:lang w:val="en-GB"/>
        </w:rPr>
        <w:t xml:space="preserve">The implementation of the International Human Rights Law into the Italian Legal System, in </w:t>
      </w:r>
      <w:r>
        <w:rPr>
          <w:rFonts w:ascii="Arial Narrow" w:hAnsi="Arial Narrow" w:cs="Arial Narrow"/>
          <w:i w:val="0"/>
          <w:iCs w:val="0"/>
          <w:sz w:val="20"/>
          <w:szCs w:val="20"/>
          <w:lang w:val="en-GB"/>
        </w:rPr>
        <w:t>European Review of Public Law, 2006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en-GB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en-GB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  <w:r w:rsidRPr="00670738"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  <w:t>2005</w:t>
      </w:r>
    </w:p>
    <w:p w:rsidR="00525E5A" w:rsidRPr="00670738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Recensione a </w:t>
      </w:r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Marinella Fumagalli Meraviglia, </w:t>
      </w:r>
      <w:proofErr w:type="spellStart"/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Compliance</w:t>
      </w:r>
      <w:proofErr w:type="spellEnd"/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 </w:t>
      </w:r>
      <w:proofErr w:type="spellStart"/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review</w:t>
      </w:r>
      <w:proofErr w:type="spellEnd"/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 nel Consiglio d'Europa, Milano, </w:t>
      </w:r>
      <w:proofErr w:type="spellStart"/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Giuffrè</w:t>
      </w:r>
      <w:proofErr w:type="spellEnd"/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, </w:t>
      </w:r>
      <w:smartTag w:uri="urn:schemas-microsoft-com:office:smarttags" w:element="metricconverter">
        <w:smartTagPr>
          <w:attr w:name="ProductID" w:val="2004, in"/>
        </w:smartTagPr>
        <w:r w:rsidRPr="007B5303">
          <w:rPr>
            <w:rFonts w:ascii="Arial Narrow" w:hAnsi="Arial Narrow" w:cs="Arial Narrow"/>
            <w:i w:val="0"/>
            <w:iCs w:val="0"/>
            <w:sz w:val="20"/>
            <w:szCs w:val="20"/>
            <w:lang w:val="it-IT"/>
          </w:rPr>
          <w:t>2004</w:t>
        </w:r>
        <w:r>
          <w:rPr>
            <w:rFonts w:ascii="Arial Narrow" w:hAnsi="Arial Narrow" w:cs="Arial Narrow"/>
            <w:i w:val="0"/>
            <w:iCs w:val="0"/>
            <w:sz w:val="20"/>
            <w:szCs w:val="20"/>
            <w:lang w:val="it-IT"/>
          </w:rPr>
          <w:t>, in</w:t>
        </w:r>
      </w:smartTag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 Rivista trimestrale di diritto pubblico, n. 4/2005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Recensione a </w:t>
      </w:r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Pasquale </w:t>
      </w:r>
      <w:proofErr w:type="spellStart"/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Pirrone</w:t>
      </w:r>
      <w:proofErr w:type="spellEnd"/>
      <w:r w:rsidRPr="007B5303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, L'obbligo di conformarsi alle sentenze della Corte europea dei diritti dell'uomo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L’area monetaria e finanziaria del Mediterraneo, con B. Bastioni, in Quaderni di studi europei, n. 1/2005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  <w:r w:rsidRPr="0023641C"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  <w:t>2003</w:t>
      </w:r>
    </w:p>
    <w:p w:rsidR="00525E5A" w:rsidRPr="0023641C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Eccessiva durata dei processi e “pregiudizialità amministrativa”, in Giornale di diritto amministrativo, n. 9/2003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Recensione a </w:t>
      </w:r>
      <w:r w:rsidRPr="009B3224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Francesco Bilancia, I diritti fondamentali come conquiste </w:t>
      </w:r>
      <w:proofErr w:type="spellStart"/>
      <w:r w:rsidRPr="009B3224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sovrastatali</w:t>
      </w:r>
      <w:proofErr w:type="spellEnd"/>
      <w:r w:rsidRPr="009B3224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 xml:space="preserve"> di civiltà. Il diritto di proprietà nella </w:t>
      </w:r>
      <w:proofErr w:type="spellStart"/>
      <w:r w:rsidRPr="009B3224"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Cedu</w:t>
      </w:r>
      <w:proofErr w:type="spellEnd"/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, in Rivista trimestrale di diritto pubblico, n. 3/2003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La “vigilanza prudenziale” tra banche centrali nazionali e Banca centrale europea, in Banca Impresa Società, n. 3/2003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  <w:r w:rsidRPr="00DA2171"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  <w:t>2002</w:t>
      </w:r>
    </w:p>
    <w:p w:rsidR="00525E5A" w:rsidRPr="00DA2171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I limiti alla pianificazione urbanistica secondo la Corte europea dei diritti dell’uomo, in Giornale di diritto amministrativo, n. 6/2002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La Corte europea dei diritti dell’uomo sul ruolo del Commissario del governo in Francia, in Rivista trimestrale di diritto pubblico, n. 1/2002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La modernizzazione dello Stato (ed.), con L. Fiorentino, Milano, Franco Angeli, 2002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  <w:r w:rsidRPr="00DA2171"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  <w:t>2001</w:t>
      </w:r>
    </w:p>
    <w:p w:rsidR="00525E5A" w:rsidRPr="00DA2171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Il riparto delle giurisdizioni nella giurisprudenza (gennaio 1999 – febbraio 2001), in Giornale di diritto amministrativo, n. 6/2001</w:t>
      </w: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i w:val="0"/>
          <w:iCs w:val="0"/>
          <w:sz w:val="20"/>
          <w:szCs w:val="20"/>
          <w:lang w:val="it-IT"/>
        </w:rPr>
      </w:pPr>
    </w:p>
    <w:p w:rsidR="00525E5A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  <w:r w:rsidRPr="00155D3F"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  <w:t>2000</w:t>
      </w:r>
    </w:p>
    <w:p w:rsidR="00525E5A" w:rsidRPr="00155D3F" w:rsidRDefault="00525E5A" w:rsidP="0006694B">
      <w:pPr>
        <w:pStyle w:val="OiaeaeiYiio2"/>
        <w:widowControl/>
        <w:spacing w:before="20" w:after="20"/>
        <w:jc w:val="both"/>
        <w:rPr>
          <w:rFonts w:ascii="Arial Narrow" w:hAnsi="Arial Narrow" w:cs="Arial Narrow"/>
          <w:b/>
          <w:i w:val="0"/>
          <w:iCs w:val="0"/>
          <w:sz w:val="20"/>
          <w:szCs w:val="20"/>
          <w:lang w:val="it-IT"/>
        </w:rPr>
      </w:pPr>
    </w:p>
    <w:p w:rsidR="00525E5A" w:rsidRPr="0080606C" w:rsidRDefault="00525E5A" w:rsidP="0006694B">
      <w:pPr>
        <w:pStyle w:val="OiaeaeiYiio2"/>
        <w:spacing w:before="20" w:after="20"/>
        <w:jc w:val="both"/>
        <w:rPr>
          <w:rFonts w:ascii="Arial Narrow" w:hAnsi="Arial Narrow" w:cs="Arial Narrow"/>
          <w:b/>
          <w:bCs/>
          <w:i w:val="0"/>
          <w:iCs w:val="0"/>
          <w:sz w:val="20"/>
          <w:szCs w:val="20"/>
          <w:lang w:val="it-IT"/>
        </w:rPr>
      </w:pPr>
      <w:r>
        <w:rPr>
          <w:rFonts w:ascii="Arial Narrow" w:hAnsi="Arial Narrow" w:cs="Arial Narrow"/>
          <w:i w:val="0"/>
          <w:iCs w:val="0"/>
          <w:sz w:val="20"/>
          <w:szCs w:val="20"/>
          <w:lang w:val="it-IT"/>
        </w:rPr>
        <w:t>Il controllo pubblico antiriciclaggio in Italia: recenti riforme e prospettive, in Banca impresa società, n. 3/2000</w:t>
      </w:r>
    </w:p>
    <w:p w:rsidR="00525E5A" w:rsidRDefault="00525E5A" w:rsidP="0006694B">
      <w:pPr>
        <w:jc w:val="both"/>
      </w:pPr>
    </w:p>
    <w:sectPr w:rsidR="00525E5A" w:rsidSect="00AA4AF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BF4" w:rsidRDefault="00737BF4">
      <w:r>
        <w:separator/>
      </w:r>
    </w:p>
  </w:endnote>
  <w:endnote w:type="continuationSeparator" w:id="0">
    <w:p w:rsidR="00737BF4" w:rsidRDefault="0073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BF4" w:rsidRDefault="00737BF4">
      <w:r>
        <w:separator/>
      </w:r>
    </w:p>
  </w:footnote>
  <w:footnote w:type="continuationSeparator" w:id="0">
    <w:p w:rsidR="00737BF4" w:rsidRDefault="0073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5A" w:rsidRPr="00B24B04" w:rsidRDefault="00525E5A" w:rsidP="00B629C9">
    <w:pPr>
      <w:pStyle w:val="Aeeaoaeaa1"/>
      <w:widowControl/>
      <w:jc w:val="center"/>
      <w:rPr>
        <w:rFonts w:ascii="Arial Narrow" w:hAnsi="Arial Narrow" w:cs="Arial Narrow"/>
        <w:smallCaps/>
        <w:spacing w:val="40"/>
        <w:sz w:val="28"/>
        <w:szCs w:val="28"/>
        <w:lang w:val="it-IT"/>
      </w:rPr>
    </w:pPr>
    <w:r>
      <w:rPr>
        <w:rFonts w:ascii="Arial Narrow" w:hAnsi="Arial Narrow" w:cs="Arial Narrow"/>
        <w:smallCaps/>
        <w:spacing w:val="40"/>
        <w:sz w:val="28"/>
        <w:szCs w:val="28"/>
        <w:lang w:val="it-IT"/>
      </w:rPr>
      <w:t>Scritti</w:t>
    </w:r>
    <w:r w:rsidRPr="00B24B04">
      <w:rPr>
        <w:rFonts w:ascii="Arial Narrow" w:hAnsi="Arial Narrow" w:cs="Arial Narrow"/>
        <w:smallCaps/>
        <w:spacing w:val="40"/>
        <w:sz w:val="28"/>
        <w:szCs w:val="28"/>
        <w:lang w:val="it-IT"/>
      </w:rPr>
      <w:t xml:space="preserve"> di</w:t>
    </w:r>
  </w:p>
  <w:p w:rsidR="00525E5A" w:rsidRPr="00B24B04" w:rsidRDefault="00525E5A" w:rsidP="00B629C9">
    <w:pPr>
      <w:pStyle w:val="Aeeaoaeaa1"/>
      <w:widowControl/>
      <w:jc w:val="center"/>
      <w:rPr>
        <w:rFonts w:ascii="Arial Narrow" w:hAnsi="Arial Narrow" w:cs="Arial Narrow"/>
        <w:smallCaps/>
        <w:spacing w:val="40"/>
        <w:sz w:val="28"/>
        <w:szCs w:val="28"/>
        <w:lang w:val="it-IT"/>
      </w:rPr>
    </w:pPr>
    <w:r w:rsidRPr="00B24B04">
      <w:rPr>
        <w:rFonts w:ascii="Arial Narrow" w:hAnsi="Arial Narrow" w:cs="Arial Narrow"/>
        <w:smallCaps/>
        <w:spacing w:val="40"/>
        <w:sz w:val="28"/>
        <w:szCs w:val="28"/>
        <w:lang w:val="it-IT"/>
      </w:rPr>
      <w:t>Marco Pacini</w:t>
    </w:r>
  </w:p>
  <w:p w:rsidR="00525E5A" w:rsidRDefault="00525E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C9"/>
    <w:rsid w:val="00030C8E"/>
    <w:rsid w:val="0006694B"/>
    <w:rsid w:val="00066E35"/>
    <w:rsid w:val="00155D3F"/>
    <w:rsid w:val="00185A9A"/>
    <w:rsid w:val="001B1E56"/>
    <w:rsid w:val="001D6D2A"/>
    <w:rsid w:val="0023641C"/>
    <w:rsid w:val="002930B6"/>
    <w:rsid w:val="002C4FB8"/>
    <w:rsid w:val="003513DA"/>
    <w:rsid w:val="003A2BA1"/>
    <w:rsid w:val="0043589D"/>
    <w:rsid w:val="004A67BF"/>
    <w:rsid w:val="004C4A81"/>
    <w:rsid w:val="00525E5A"/>
    <w:rsid w:val="005B1F67"/>
    <w:rsid w:val="00621B26"/>
    <w:rsid w:val="00670738"/>
    <w:rsid w:val="00673C61"/>
    <w:rsid w:val="006C0100"/>
    <w:rsid w:val="006D39D7"/>
    <w:rsid w:val="006F7C1F"/>
    <w:rsid w:val="00725FE2"/>
    <w:rsid w:val="00737BF4"/>
    <w:rsid w:val="007B5303"/>
    <w:rsid w:val="0080606C"/>
    <w:rsid w:val="00904067"/>
    <w:rsid w:val="00932C29"/>
    <w:rsid w:val="009416B2"/>
    <w:rsid w:val="009639BE"/>
    <w:rsid w:val="009B3224"/>
    <w:rsid w:val="009D5B48"/>
    <w:rsid w:val="009E6F88"/>
    <w:rsid w:val="00A10B26"/>
    <w:rsid w:val="00A6046F"/>
    <w:rsid w:val="00AA4AFF"/>
    <w:rsid w:val="00AA5B68"/>
    <w:rsid w:val="00AB7F01"/>
    <w:rsid w:val="00B24B04"/>
    <w:rsid w:val="00B44B29"/>
    <w:rsid w:val="00B45B74"/>
    <w:rsid w:val="00B629C9"/>
    <w:rsid w:val="00B62CFD"/>
    <w:rsid w:val="00B83898"/>
    <w:rsid w:val="00BF736E"/>
    <w:rsid w:val="00C73F8C"/>
    <w:rsid w:val="00D531E1"/>
    <w:rsid w:val="00DA2171"/>
    <w:rsid w:val="00DE7748"/>
    <w:rsid w:val="00E0297F"/>
    <w:rsid w:val="00E43884"/>
    <w:rsid w:val="00EB0DAB"/>
    <w:rsid w:val="00F00640"/>
    <w:rsid w:val="00F93B85"/>
    <w:rsid w:val="00FA49B9"/>
    <w:rsid w:val="00FA72FB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7AF9679-1F6E-4C85-96E1-435DC346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9C9"/>
    <w:rPr>
      <w:rFonts w:ascii="Garamond" w:hAnsi="Garamond" w:cs="Garamond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uiPriority w:val="99"/>
    <w:rsid w:val="00B629C9"/>
    <w:pPr>
      <w:widowControl w:val="0"/>
    </w:pPr>
    <w:rPr>
      <w:rFonts w:ascii="Garamond" w:hAnsi="Garamond" w:cs="Garamond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B629C9"/>
    <w:pPr>
      <w:keepNext/>
      <w:jc w:val="right"/>
    </w:pPr>
    <w:rPr>
      <w:b/>
      <w:bCs/>
    </w:rPr>
  </w:style>
  <w:style w:type="paragraph" w:customStyle="1" w:styleId="OiaeaeiYiio2">
    <w:name w:val="O?ia eaeiYiio 2"/>
    <w:basedOn w:val="Aaoeeu"/>
    <w:uiPriority w:val="99"/>
    <w:rsid w:val="00B629C9"/>
    <w:pPr>
      <w:jc w:val="right"/>
    </w:pPr>
    <w:rPr>
      <w:i/>
      <w:i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B62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6E40"/>
    <w:rPr>
      <w:rFonts w:ascii="Garamond" w:hAnsi="Garamond" w:cs="Garamond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B629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6E40"/>
    <w:rPr>
      <w:rFonts w:ascii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2002 – 2009</vt:lpstr>
    </vt:vector>
  </TitlesOfParts>
  <Company>Banca d'Italia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– 2009</dc:title>
  <dc:creator>f572862</dc:creator>
  <cp:lastModifiedBy>Marco</cp:lastModifiedBy>
  <cp:revision>2</cp:revision>
  <dcterms:created xsi:type="dcterms:W3CDTF">2015-05-31T07:41:00Z</dcterms:created>
  <dcterms:modified xsi:type="dcterms:W3CDTF">2015-05-31T07:41:00Z</dcterms:modified>
</cp:coreProperties>
</file>